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framePr/>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03.100.20</w:t>
      </w:r>
      <w:r>
        <w:fldChar w:fldCharType="end"/>
      </w:r>
      <w:bookmarkEnd w:id="0"/>
    </w:p>
    <w:p>
      <w:pPr>
        <w:pStyle w:val="124"/>
        <w:framePr/>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B01</w:t>
      </w:r>
      <w:r>
        <w:fldChar w:fldCharType="end"/>
      </w:r>
      <w:bookmarkEnd w:id="1"/>
    </w:p>
    <w:tbl>
      <w:tblPr>
        <w:tblStyle w:val="4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4"/>
              <w:framePr/>
            </w:pPr>
            <w: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iuL+zVAAAABwEAAA8AAAAAAAAAAQAgAAAAIgAAAGRycy9kb3ducmV2LnhtbFBLAQIUABQA&#10;AAAIAIdO4kB/eoSc8wEAANIDAAAOAAAAAAAAAAEAIAAAACQBAABkcnMvZTJvRG9jLnhtbFBLBQYA&#10;AAAABgAGAFkBAACJ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rPr>
                <w:rFonts w:hint="eastAsia"/>
              </w:rPr>
              <w:t>备案号：</w:t>
            </w:r>
            <w:r>
              <w:fldChar w:fldCharType="end"/>
            </w:r>
            <w:bookmarkEnd w:id="2"/>
          </w:p>
        </w:tc>
      </w:tr>
    </w:tbl>
    <w:p>
      <w:pPr>
        <w:pStyle w:val="67"/>
        <w:framePr/>
      </w:pPr>
      <w:bookmarkStart w:id="3" w:name="c1"/>
      <w:r>
        <w:fldChar w:fldCharType="begin">
          <w:ffData>
            <w:name w:val="c1"/>
            <w:enabled/>
            <w:calcOnExit w:val="0"/>
            <w:textInput>
              <w:maxLength w:val="2"/>
            </w:textInput>
          </w:ffData>
        </w:fldChar>
      </w:r>
      <w:r>
        <w:instrText xml:space="preserve"> FORMTEXT </w:instrText>
      </w:r>
      <w:r>
        <w:fldChar w:fldCharType="separate"/>
      </w:r>
      <w:r>
        <w:rPr>
          <w:rFonts w:hint="eastAsia"/>
        </w:rPr>
        <w:t>GH</w:t>
      </w:r>
      <w:r>
        <w:fldChar w:fldCharType="end"/>
      </w:r>
      <w:bookmarkEnd w:id="3"/>
    </w:p>
    <w:p>
      <w:pPr>
        <w:pStyle w:val="111"/>
        <w:framePr/>
      </w:pPr>
      <w:r>
        <w:rPr>
          <w:rFonts w:hint="eastAsia"/>
        </w:rPr>
        <w:t>中华人民共和国</w:t>
      </w:r>
      <w:bookmarkStart w:id="4" w:name="c2"/>
      <w:r>
        <w:fldChar w:fldCharType="begin">
          <w:ffData>
            <w:name w:val="c2"/>
            <w:enabled/>
            <w:calcOnExit w:val="0"/>
            <w:textInput/>
          </w:ffData>
        </w:fldChar>
      </w:r>
      <w:r>
        <w:instrText xml:space="preserve"> FORMTEXT </w:instrText>
      </w:r>
      <w:r>
        <w:fldChar w:fldCharType="separate"/>
      </w:r>
      <w:r>
        <w:rPr>
          <w:rFonts w:hint="eastAsia"/>
        </w:rPr>
        <w:t>供销合作</w:t>
      </w:r>
      <w:r>
        <w:fldChar w:fldCharType="end"/>
      </w:r>
      <w:bookmarkEnd w:id="4"/>
      <w:r>
        <w:rPr>
          <w:rFonts w:hint="eastAsia"/>
        </w:rPr>
        <w:t>行业标准</w:t>
      </w:r>
    </w:p>
    <w:p>
      <w:pPr>
        <w:pStyle w:val="48"/>
        <w:framePr/>
        <w:rPr>
          <w:rFonts w:hAnsi="黑体"/>
        </w:rPr>
      </w:pPr>
      <w:bookmarkStart w:id="5"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GH</w:t>
      </w:r>
      <w:r>
        <w:rPr>
          <w:rFonts w:ascii="Times New Roman"/>
        </w:rPr>
        <w:fldChar w:fldCharType="end"/>
      </w:r>
      <w:bookmarkEnd w:id="5"/>
      <w:r>
        <w:rPr>
          <w:rFonts w:ascii="Times New Roman"/>
        </w:rPr>
        <w:t xml:space="preserve">/T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4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7"/>
              <w:framePr/>
            </w:pPr>
            <w:bookmarkStart w:id="8" w:name="DT"/>
            <w:r>
              <mc:AlternateContent>
                <mc:Choice Requires="wps">
                  <w:drawing>
                    <wp:anchor distT="0" distB="0" distL="114300" distR="114300" simplePos="0" relativeHeight="251657216" behindDoc="1" locked="0" layoutInCell="1" allowOverlap="1">
                      <wp:simplePos x="0" y="0"/>
                      <wp:positionH relativeFrom="column">
                        <wp:posOffset>4734560</wp:posOffset>
                      </wp:positionH>
                      <wp:positionV relativeFrom="paragraph">
                        <wp:posOffset>34290</wp:posOffset>
                      </wp:positionV>
                      <wp:extent cx="1143000" cy="228600"/>
                      <wp:effectExtent l="635" t="0" r="0" b="381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926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BeRvvK7wEAANI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8"/>
          </w:p>
        </w:tc>
      </w:tr>
    </w:tbl>
    <w:p>
      <w:pPr>
        <w:pStyle w:val="48"/>
        <w:framePr/>
        <w:rPr>
          <w:rFonts w:hAnsi="黑体"/>
        </w:rPr>
      </w:pPr>
    </w:p>
    <w:p>
      <w:pPr>
        <w:pStyle w:val="48"/>
        <w:framePr/>
        <w:rPr>
          <w:rFonts w:hAnsi="黑体"/>
        </w:rPr>
      </w:pPr>
    </w:p>
    <w:p>
      <w:pPr>
        <w:pStyle w:val="79"/>
        <w:framePr/>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农资追溯电子标签（RFID）技术规范</w:t>
      </w:r>
      <w:r>
        <w:fldChar w:fldCharType="end"/>
      </w:r>
      <w:bookmarkEnd w:id="9"/>
    </w:p>
    <w:p>
      <w:pPr>
        <w:pStyle w:val="80"/>
        <w:framePr/>
      </w:pPr>
      <w:r>
        <w:fldChar w:fldCharType="begin">
          <w:ffData>
            <w:enabled/>
            <w:calcOnExit w:val="0"/>
            <w:textInput>
              <w:default w:val="RFID technical specification for tracing of agricultural means of production"/>
            </w:textInput>
          </w:ffData>
        </w:fldChar>
      </w:r>
      <w:r>
        <w:instrText xml:space="preserve"> FORMTEXT </w:instrText>
      </w:r>
      <w:r>
        <w:fldChar w:fldCharType="separate"/>
      </w:r>
      <w:r>
        <w:t>RFID technical specification for tracing of agricultural means of production</w:t>
      </w:r>
      <w:r>
        <w:fldChar w:fldCharType="end"/>
      </w:r>
    </w:p>
    <w:p>
      <w:pPr>
        <w:pStyle w:val="81"/>
        <w:framePr/>
      </w:pPr>
      <w:bookmarkStart w:id="10"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0"/>
    </w:p>
    <w:tbl>
      <w:tblPr>
        <w:tblStyle w:val="4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2"/>
              <w:framePr/>
            </w:pPr>
            <w: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635" t="1905" r="0" b="1270"/>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7216;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ia6S1QAAAAoBAAAPAAAAAAAAAAEAIAAAACIAAABkcnMvZG93bnJldi54bWxQSwECFAAUAAAACACH&#10;TuJA21768+4BAADSAwAADgAAAAAAAAABACAAAAAkAQAAZHJzL2Uyb0RvYy54bWxQSwUGAAAAAAYA&#10;BgBZAQAAhAUAAAAA&#10;">
                      <v:fill on="t" focussize="0,0"/>
                      <v:stroke on="f"/>
                      <v:imagedata o:title=""/>
                      <o:lock v:ext="edit" aspectratio="f"/>
                      <w10:anchorlock/>
                    </v:rect>
                  </w:pict>
                </mc:Fallback>
              </mc:AlternateContent>
            </w:r>
            <w:r>
              <mc:AlternateContent>
                <mc:Choice Requires="wps">
                  <w:drawing>
                    <wp:anchor distT="0" distB="0" distL="114300" distR="114300" simplePos="0" relativeHeight="251658240" behindDoc="1" locked="0" layoutInCell="1" allowOverlap="1">
                      <wp:simplePos x="0" y="0"/>
                      <wp:positionH relativeFrom="column">
                        <wp:posOffset>2454910</wp:posOffset>
                      </wp:positionH>
                      <wp:positionV relativeFrom="paragraph">
                        <wp:posOffset>255905</wp:posOffset>
                      </wp:positionV>
                      <wp:extent cx="1270000" cy="304800"/>
                      <wp:effectExtent l="0" t="0" r="0" b="1270"/>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8240;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GL5dYAAAAJAQAADwAAAAAAAAABACAAAAAiAAAAZHJzL2Rvd25yZXYueG1sUEsBAhQAFAAAAAgA&#10;h07iQKtCIkHuAQAA0gMAAA4AAAAAAAAAAQAgAAAAJQEAAGRycy9lMm9Eb2MueG1sUEsFBgAAAAAG&#10;AAYAWQEAAIUFAAAAAA==&#10;">
                      <v:fill on="t" focussize="0,0"/>
                      <v:stroke on="f"/>
                      <v:imagedata o:title=""/>
                      <o:lock v:ext="edit" aspectratio="f"/>
                    </v:rect>
                  </w:pict>
                </mc:Fallback>
              </mc:AlternateContent>
            </w:r>
            <w:r>
              <w:rPr>
                <w:rFonts w:hint="eastAsia"/>
                <w:lang w:val="en-US" w:eastAsia="zh-CN"/>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3"/>
              <w:framePr/>
            </w:pPr>
            <w:r>
              <w:fldChar w:fldCharType="begin">
                <w:ffData>
                  <w:name w:val="WCRQ"/>
                  <w:enabled/>
                  <w:calcOnExit w:val="0"/>
                  <w:textInput>
                    <w:default w:val="（本稿完成日期：2017年6月20日）"/>
                  </w:textInput>
                </w:ffData>
              </w:fldChar>
            </w:r>
            <w:bookmarkStart w:id="11" w:name="WCRQ"/>
            <w:r>
              <w:instrText xml:space="preserve"> FORMTEXT </w:instrText>
            </w:r>
            <w:r>
              <w:fldChar w:fldCharType="separate"/>
            </w:r>
            <w:r>
              <w:rPr>
                <w:rFonts w:hint="eastAsia"/>
              </w:rPr>
              <w:t>（本稿完成日期：2</w:t>
            </w:r>
            <w:bookmarkStart w:id="22" w:name="_GoBack"/>
            <w:bookmarkEnd w:id="22"/>
            <w:r>
              <w:rPr>
                <w:rFonts w:hint="eastAsia"/>
              </w:rPr>
              <w:t>017年6月20日）</w:t>
            </w:r>
            <w:r>
              <w:fldChar w:fldCharType="end"/>
            </w:r>
            <w:bookmarkEnd w:id="11"/>
          </w:p>
        </w:tc>
      </w:tr>
    </w:tbl>
    <w:p>
      <w:pPr>
        <w:pStyle w:val="131"/>
        <w:framePr w:hAnchor="page" w:x="1441" w:y="14086"/>
      </w:pPr>
      <w:bookmarkStart w:id="12" w:name="FY"/>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2017</w:t>
      </w:r>
      <w:r>
        <w:rPr>
          <w:rFonts w:ascii="黑体"/>
        </w:rPr>
        <w:fldChar w:fldCharType="end"/>
      </w:r>
      <w:bookmarkEnd w:id="12"/>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3"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8890" t="12700" r="5080" b="6350"/>
                <wp:wrapNone/>
                <wp:docPr id="2"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516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JYdrPNYA&#10;AAALAQAADwAAAAAAAAABACAAAAAiAAAAZHJzL2Rvd25yZXYueG1sUEsBAhQAFAAAAAgAh07iQCCZ&#10;hmyvAQAAUgMAAA4AAAAAAAAAAQAgAAAAJQEAAGRycy9lMm9Eb2MueG1sUEsFBgAAAAAGAAYAWQEA&#10;AEYFAAAAAA==&#10;">
                <v:fill on="f" focussize="0,0"/>
                <v:stroke color="#000000" joinstyle="round"/>
                <v:imagedata o:title=""/>
                <o:lock v:ext="edit" aspectratio="f"/>
                <w10:anchorlock/>
              </v:line>
            </w:pict>
          </mc:Fallback>
        </mc:AlternateContent>
      </w:r>
    </w:p>
    <w:p>
      <w:pPr>
        <w:pStyle w:val="132"/>
        <w:framePr w:hAnchor="page" w:x="7066" w:y="14086"/>
      </w:pPr>
      <w:bookmarkStart w:id="14" w:name="SY"/>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2018</w:t>
      </w:r>
      <w:r>
        <w:rPr>
          <w:rFonts w:ascii="黑体"/>
        </w:rPr>
        <w:fldChar w:fldCharType="end"/>
      </w:r>
      <w:bookmarkEnd w:id="14"/>
      <w:r>
        <w:t xml:space="preserve"> </w:t>
      </w:r>
      <w:r>
        <w:rPr>
          <w:rFonts w:ascii="黑体"/>
        </w:rPr>
        <w:t>-</w:t>
      </w:r>
      <w:r>
        <w:t xml:space="preserve"> </w:t>
      </w:r>
      <w:bookmarkStart w:id="15"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12"/>
        <w:framePr/>
      </w:pPr>
      <w:bookmarkStart w:id="17" w:name="fm"/>
      <w:r>
        <w:fldChar w:fldCharType="begin">
          <w:ffData>
            <w:name w:val="fm"/>
            <w:enabled/>
            <w:calcOnExit w:val="0"/>
            <w:textInput/>
          </w:ffData>
        </w:fldChar>
      </w:r>
      <w:r>
        <w:instrText xml:space="preserve"> FORMTEXT </w:instrText>
      </w:r>
      <w:r>
        <w:fldChar w:fldCharType="separate"/>
      </w:r>
      <w:r>
        <w:rPr>
          <w:rFonts w:hint="eastAsia"/>
        </w:rPr>
        <w:t>中华全国供销合作总社</w:t>
      </w:r>
      <w:r>
        <w:fldChar w:fldCharType="end"/>
      </w:r>
      <w:bookmarkEnd w:id="17"/>
      <w:r>
        <w:rPr>
          <w:rFonts w:hAnsi="黑体"/>
        </w:rPr>
        <w:t>   </w:t>
      </w:r>
      <w:r>
        <w:rPr>
          <w:rStyle w:val="74"/>
          <w:rFonts w:hint="eastAsia"/>
        </w:rPr>
        <w:t>发布</w:t>
      </w:r>
    </w:p>
    <w:p>
      <w:pPr>
        <w:pStyle w:val="25"/>
        <w:sectPr>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56192" behindDoc="0" locked="0" layoutInCell="1" allowOverlap="1">
                <wp:simplePos x="0" y="0"/>
                <wp:positionH relativeFrom="column">
                  <wp:posOffset>-635</wp:posOffset>
                </wp:positionH>
                <wp:positionV relativeFrom="paragraph">
                  <wp:posOffset>2339975</wp:posOffset>
                </wp:positionV>
                <wp:extent cx="6120130" cy="0"/>
                <wp:effectExtent l="8890" t="6350" r="5080" b="1270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5619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CQeJf1wAA&#10;AAkBAAAPAAAAAAAAAAEAIAAAACIAAABkcnMvZG93bnJldi54bWxQSwECFAAUAAAACACHTuJAfoMW&#10;Iq0BAABSAwAADgAAAAAAAAABACAAAAAmAQAAZHJzL2Uyb0RvYy54bWxQSwUGAAAAAAYABgBZAQAA&#10;RQUAAAAA&#10;">
                <v:fill on="f" focussize="0,0"/>
                <v:stroke color="#000000" joinstyle="round"/>
                <v:imagedata o:title=""/>
                <o:lock v:ext="edit" aspectratio="f"/>
              </v:line>
            </w:pict>
          </mc:Fallback>
        </mc:AlternateContent>
      </w:r>
    </w:p>
    <w:p>
      <w:pPr>
        <w:pStyle w:val="113"/>
      </w:pPr>
      <w:r>
        <w:rPr>
          <w:rFonts w:hint="eastAsia"/>
        </w:rPr>
        <w:t>前</w:t>
      </w:r>
      <w:bookmarkStart w:id="18" w:name="BKQY"/>
      <w:r>
        <w:rPr>
          <w:rFonts w:hAnsi="黑体"/>
        </w:rPr>
        <w:t>  </w:t>
      </w:r>
      <w:r>
        <w:rPr>
          <w:rFonts w:hint="eastAsia"/>
        </w:rPr>
        <w:t>言</w:t>
      </w:r>
      <w:bookmarkEnd w:id="18"/>
    </w:p>
    <w:p>
      <w:pPr>
        <w:pStyle w:val="25"/>
      </w:pPr>
      <w:r>
        <w:rPr>
          <w:rFonts w:hint="eastAsia"/>
        </w:rPr>
        <w:t>本部分按照 GB/T 1.1-2009给出的规则起草。</w:t>
      </w:r>
    </w:p>
    <w:p>
      <w:pPr>
        <w:pStyle w:val="25"/>
      </w:pPr>
      <w:r>
        <w:rPr>
          <w:rFonts w:hint="eastAsia"/>
        </w:rPr>
        <w:t>本标准由中华全国供销合作总社农业生产资料局提出并归口。</w:t>
      </w:r>
    </w:p>
    <w:p>
      <w:pPr>
        <w:pStyle w:val="25"/>
      </w:pPr>
      <w:r>
        <w:rPr>
          <w:rFonts w:hint="eastAsia"/>
        </w:rPr>
        <w:t>本标准起草单位：北京农业信息技术研究中心、中国农业生产资料集团公司、徐州源正易山信息科技有限公司。</w:t>
      </w:r>
    </w:p>
    <w:p>
      <w:pPr>
        <w:pStyle w:val="25"/>
      </w:pPr>
      <w:r>
        <w:rPr>
          <w:rFonts w:hint="eastAsia"/>
        </w:rPr>
        <w:t>本标准的主要起草人：</w:t>
      </w:r>
    </w:p>
    <w:p>
      <w:pPr>
        <w:pStyle w:val="25"/>
      </w:pPr>
      <w:r>
        <w:rPr>
          <w:rFonts w:hint="eastAsia"/>
        </w:rPr>
        <w:t>本标准为首次发布。</w:t>
      </w:r>
    </w:p>
    <w:p>
      <w:pPr>
        <w:pStyle w:val="25"/>
      </w:pPr>
    </w:p>
    <w:p>
      <w:pPr>
        <w:pStyle w:val="25"/>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p>
    <w:p>
      <w:pPr>
        <w:pStyle w:val="51"/>
      </w:pPr>
      <w:r>
        <w:rPr>
          <w:rFonts w:hint="eastAsia"/>
        </w:rPr>
        <w:t>农资追溯电子标签（RFID）技术规范</w:t>
      </w:r>
    </w:p>
    <w:p>
      <w:pPr>
        <w:pStyle w:val="46"/>
      </w:pPr>
      <w:r>
        <w:rPr>
          <w:rFonts w:hint="eastAsia"/>
        </w:rPr>
        <w:t>范围</w:t>
      </w:r>
    </w:p>
    <w:p>
      <w:pPr>
        <w:pStyle w:val="25"/>
      </w:pPr>
      <w:r>
        <w:rPr>
          <w:rFonts w:hint="eastAsia"/>
        </w:rPr>
        <w:t>本技术规范规定了农资追溯使用RFID作为信息载体的基本功能要求、性能要求以及读写器要求等。</w:t>
      </w:r>
    </w:p>
    <w:p>
      <w:pPr>
        <w:pStyle w:val="25"/>
      </w:pPr>
      <w:r>
        <w:rPr>
          <w:rFonts w:hint="eastAsia"/>
        </w:rPr>
        <w:t>本技术规范适用于带包装的种子、农药、化肥等农资，用来标识农资的基本信息、流通信息等内容。</w:t>
      </w:r>
    </w:p>
    <w:p>
      <w:pPr>
        <w:pStyle w:val="46"/>
      </w:pPr>
      <w:r>
        <w:rPr>
          <w:rFonts w:hint="eastAsia"/>
        </w:rPr>
        <w:t>规范性引用文件</w:t>
      </w:r>
    </w:p>
    <w:p>
      <w:pPr>
        <w:pStyle w:val="25"/>
      </w:pPr>
      <w:r>
        <w:rPr>
          <w:rFonts w:hint="eastAsia"/>
        </w:rPr>
        <w:t>下列文件对于本文件的应用是必不可少的。凡是注日期的引用文件，仅所注日期的版本适用于本文件。凡是不注日期的引用文件，其最新版本（包括所有的修改单）适用于本文件。</w:t>
      </w:r>
    </w:p>
    <w:tbl>
      <w:tblPr>
        <w:tblStyle w:val="40"/>
        <w:tblW w:w="8099" w:type="dxa"/>
        <w:tblInd w:w="423" w:type="dxa"/>
        <w:tblLayout w:type="fixed"/>
        <w:tblCellMar>
          <w:top w:w="0" w:type="dxa"/>
          <w:left w:w="108" w:type="dxa"/>
          <w:bottom w:w="0" w:type="dxa"/>
          <w:right w:w="108" w:type="dxa"/>
        </w:tblCellMar>
      </w:tblPr>
      <w:tblGrid>
        <w:gridCol w:w="2365"/>
        <w:gridCol w:w="5734"/>
      </w:tblGrid>
      <w:tr>
        <w:tblPrEx>
          <w:tblLayout w:type="fixed"/>
          <w:tblCellMar>
            <w:top w:w="0" w:type="dxa"/>
            <w:left w:w="108" w:type="dxa"/>
            <w:bottom w:w="0" w:type="dxa"/>
            <w:right w:w="108" w:type="dxa"/>
          </w:tblCellMar>
        </w:tblPrEx>
        <w:tc>
          <w:tcPr>
            <w:tcW w:w="2365" w:type="dxa"/>
          </w:tcPr>
          <w:p>
            <w:pPr>
              <w:pStyle w:val="10"/>
              <w:spacing w:line="240" w:lineRule="auto"/>
              <w:rPr>
                <w:rFonts w:ascii="宋体"/>
                <w:kern w:val="0"/>
                <w:sz w:val="21"/>
              </w:rPr>
            </w:pPr>
            <w:r>
              <w:rPr>
                <w:rFonts w:ascii="宋体"/>
                <w:kern w:val="0"/>
                <w:sz w:val="21"/>
              </w:rPr>
              <w:t>GB 12904-2008</w:t>
            </w:r>
          </w:p>
        </w:tc>
        <w:tc>
          <w:tcPr>
            <w:tcW w:w="5734" w:type="dxa"/>
          </w:tcPr>
          <w:p>
            <w:pPr>
              <w:pStyle w:val="10"/>
              <w:spacing w:line="240" w:lineRule="auto"/>
              <w:rPr>
                <w:rFonts w:ascii="宋体"/>
                <w:kern w:val="0"/>
                <w:sz w:val="21"/>
              </w:rPr>
            </w:pPr>
            <w:r>
              <w:rPr>
                <w:rFonts w:hint="eastAsia" w:ascii="宋体"/>
                <w:kern w:val="0"/>
                <w:sz w:val="21"/>
              </w:rPr>
              <w:t>商品条码 零售商品编码与条码表示</w:t>
            </w:r>
          </w:p>
        </w:tc>
      </w:tr>
      <w:tr>
        <w:tblPrEx>
          <w:tblLayout w:type="fixed"/>
          <w:tblCellMar>
            <w:top w:w="0" w:type="dxa"/>
            <w:left w:w="108" w:type="dxa"/>
            <w:bottom w:w="0" w:type="dxa"/>
            <w:right w:w="108" w:type="dxa"/>
          </w:tblCellMar>
        </w:tblPrEx>
        <w:tc>
          <w:tcPr>
            <w:tcW w:w="2365" w:type="dxa"/>
          </w:tcPr>
          <w:p>
            <w:pPr>
              <w:rPr>
                <w:rFonts w:ascii="宋体"/>
                <w:color w:val="000000"/>
                <w:kern w:val="0"/>
                <w:szCs w:val="20"/>
              </w:rPr>
            </w:pPr>
            <w:bookmarkStart w:id="19" w:name="OLE_LINK3"/>
            <w:bookmarkStart w:id="20" w:name="OLE_LINK4"/>
            <w:r>
              <w:rPr>
                <w:rFonts w:hint="eastAsia" w:ascii="宋体"/>
                <w:color w:val="000000"/>
                <w:kern w:val="0"/>
                <w:szCs w:val="20"/>
              </w:rPr>
              <w:t>GB/T 76</w:t>
            </w:r>
            <w:bookmarkEnd w:id="19"/>
            <w:bookmarkEnd w:id="20"/>
            <w:r>
              <w:rPr>
                <w:rFonts w:hint="eastAsia" w:ascii="宋体"/>
                <w:color w:val="000000"/>
                <w:kern w:val="0"/>
                <w:szCs w:val="20"/>
              </w:rPr>
              <w:t>35</w:t>
            </w:r>
          </w:p>
        </w:tc>
        <w:tc>
          <w:tcPr>
            <w:tcW w:w="5734" w:type="dxa"/>
          </w:tcPr>
          <w:p>
            <w:pPr>
              <w:rPr>
                <w:rFonts w:ascii="宋体"/>
                <w:color w:val="000000"/>
                <w:kern w:val="0"/>
                <w:szCs w:val="20"/>
              </w:rPr>
            </w:pPr>
            <w:r>
              <w:rPr>
                <w:rFonts w:hint="eastAsia" w:ascii="宋体"/>
                <w:color w:val="000000"/>
                <w:kern w:val="0"/>
                <w:szCs w:val="20"/>
              </w:rPr>
              <w:t>全国工农业产品（商品、物资）分类与代码</w:t>
            </w:r>
          </w:p>
        </w:tc>
      </w:tr>
      <w:tr>
        <w:tblPrEx>
          <w:tblLayout w:type="fixed"/>
          <w:tblCellMar>
            <w:top w:w="0" w:type="dxa"/>
            <w:left w:w="108" w:type="dxa"/>
            <w:bottom w:w="0" w:type="dxa"/>
            <w:right w:w="108" w:type="dxa"/>
          </w:tblCellMar>
        </w:tblPrEx>
        <w:tc>
          <w:tcPr>
            <w:tcW w:w="2365" w:type="dxa"/>
          </w:tcPr>
          <w:p>
            <w:pPr>
              <w:rPr>
                <w:rFonts w:ascii="宋体"/>
                <w:color w:val="000000"/>
                <w:kern w:val="0"/>
                <w:szCs w:val="20"/>
              </w:rPr>
            </w:pPr>
            <w:r>
              <w:rPr>
                <w:rFonts w:ascii="宋体"/>
                <w:color w:val="000000"/>
                <w:kern w:val="0"/>
                <w:szCs w:val="20"/>
              </w:rPr>
              <w:t>GH/T 1086-2013</w:t>
            </w:r>
          </w:p>
        </w:tc>
        <w:tc>
          <w:tcPr>
            <w:tcW w:w="5734" w:type="dxa"/>
          </w:tcPr>
          <w:p>
            <w:pPr>
              <w:rPr>
                <w:rFonts w:ascii="宋体"/>
                <w:color w:val="000000"/>
                <w:kern w:val="0"/>
                <w:szCs w:val="20"/>
              </w:rPr>
            </w:pPr>
            <w:r>
              <w:rPr>
                <w:rFonts w:hint="eastAsia" w:ascii="宋体"/>
                <w:color w:val="000000"/>
                <w:kern w:val="0"/>
                <w:szCs w:val="20"/>
              </w:rPr>
              <w:t>农资商品电子代码编码规则</w:t>
            </w:r>
          </w:p>
        </w:tc>
      </w:tr>
    </w:tbl>
    <w:p>
      <w:pPr>
        <w:pStyle w:val="46"/>
      </w:pPr>
      <w:r>
        <w:rPr>
          <w:rFonts w:hint="eastAsia"/>
        </w:rPr>
        <w:t>术语和定义</w:t>
      </w:r>
    </w:p>
    <w:p>
      <w:pPr>
        <w:pStyle w:val="25"/>
      </w:pPr>
      <w:r>
        <w:rPr>
          <w:rFonts w:hint="eastAsia"/>
        </w:rPr>
        <w:t>下列术语和定义适用于本文件。</w:t>
      </w:r>
    </w:p>
    <w:p>
      <w:pPr>
        <w:pStyle w:val="126"/>
      </w:pPr>
    </w:p>
    <w:p>
      <w:pPr>
        <w:pStyle w:val="25"/>
        <w:ind w:firstLineChars="0"/>
        <w:rPr>
          <w:rFonts w:ascii="黑体" w:hAnsi="黑体" w:eastAsia="黑体"/>
        </w:rPr>
      </w:pPr>
      <w:r>
        <w:rPr>
          <w:rFonts w:hint="eastAsia" w:ascii="黑体" w:hAnsi="黑体" w:eastAsia="黑体"/>
        </w:rPr>
        <w:t xml:space="preserve">农资 </w:t>
      </w:r>
      <w:r>
        <w:rPr>
          <w:rFonts w:ascii="黑体" w:hAnsi="黑体" w:eastAsia="黑体"/>
        </w:rPr>
        <w:t>agricultural means of production</w:t>
      </w:r>
    </w:p>
    <w:p>
      <w:pPr>
        <w:pStyle w:val="25"/>
      </w:pPr>
      <w:r>
        <w:rPr>
          <w:rFonts w:hint="eastAsia"/>
        </w:rPr>
        <w:t>农业生产资料简称农资，是指包括农作物种子、农药、肥料、饲料和饲料添加剂(含渔用)、种畜禽、牧草种子、食用菌菌种、兽药、农机及零配件、水产苗种、渔药、渔机渔具等农业投入品的总称。</w:t>
      </w:r>
    </w:p>
    <w:p>
      <w:pPr>
        <w:pStyle w:val="126"/>
        <w:rPr>
          <w:rFonts w:ascii="黑体" w:hAnsi="黑体" w:eastAsia="黑体"/>
        </w:rPr>
      </w:pPr>
    </w:p>
    <w:p>
      <w:pPr>
        <w:pStyle w:val="25"/>
        <w:ind w:firstLineChars="0"/>
        <w:rPr>
          <w:rFonts w:ascii="黑体" w:hAnsi="黑体" w:eastAsia="黑体"/>
        </w:rPr>
      </w:pPr>
      <w:r>
        <w:rPr>
          <w:rFonts w:hint="eastAsia" w:ascii="黑体" w:hAnsi="黑体" w:eastAsia="黑体"/>
        </w:rPr>
        <w:t xml:space="preserve">追溯 </w:t>
      </w:r>
      <w:r>
        <w:rPr>
          <w:rFonts w:ascii="黑体" w:hAnsi="黑体" w:eastAsia="黑体"/>
        </w:rPr>
        <w:t>traceability</w:t>
      </w:r>
    </w:p>
    <w:p>
      <w:pPr>
        <w:pStyle w:val="25"/>
      </w:pPr>
      <w:r>
        <w:rPr>
          <w:rFonts w:hint="eastAsia"/>
        </w:rPr>
        <w:t>通过记录标识的方法回溯某个实体来源、用途、位置和历史的能力。</w:t>
      </w:r>
    </w:p>
    <w:p>
      <w:pPr>
        <w:pStyle w:val="126"/>
      </w:pPr>
    </w:p>
    <w:p>
      <w:pPr>
        <w:pStyle w:val="25"/>
        <w:ind w:firstLineChars="0"/>
        <w:rPr>
          <w:rFonts w:ascii="黑体" w:hAnsi="黑体" w:eastAsia="黑体"/>
        </w:rPr>
      </w:pPr>
      <w:r>
        <w:rPr>
          <w:rFonts w:hint="eastAsia" w:ascii="黑体" w:hAnsi="黑体" w:eastAsia="黑体"/>
        </w:rPr>
        <w:t>射频识别 radio frequency identification,RFID</w:t>
      </w:r>
    </w:p>
    <w:p>
      <w:pPr>
        <w:pStyle w:val="25"/>
      </w:pPr>
      <w:r>
        <w:rPr>
          <w:rFonts w:hint="eastAsia"/>
        </w:rPr>
        <w:t>利用射频信号和空间耦合（电感耦合或电磁耦合）传输特性，实现对被识别物体的一种非接触自动识别技术。</w:t>
      </w:r>
    </w:p>
    <w:p>
      <w:pPr>
        <w:pStyle w:val="126"/>
      </w:pPr>
    </w:p>
    <w:p>
      <w:pPr>
        <w:pStyle w:val="25"/>
        <w:ind w:firstLineChars="0"/>
        <w:rPr>
          <w:rFonts w:ascii="黑体" w:hAnsi="黑体" w:eastAsia="黑体"/>
        </w:rPr>
      </w:pPr>
      <w:r>
        <w:rPr>
          <w:rFonts w:hint="eastAsia" w:ascii="黑体" w:hAnsi="黑体" w:eastAsia="黑体"/>
        </w:rPr>
        <w:t>电子标签 RFID tag</w:t>
      </w:r>
    </w:p>
    <w:p>
      <w:pPr>
        <w:pStyle w:val="25"/>
      </w:pPr>
      <w:r>
        <w:rPr>
          <w:rFonts w:hint="eastAsia"/>
        </w:rPr>
        <w:t>以射频方式实现非接触识别功能的数据信息的载体。</w:t>
      </w:r>
    </w:p>
    <w:p>
      <w:pPr>
        <w:pStyle w:val="126"/>
      </w:pPr>
    </w:p>
    <w:p>
      <w:pPr>
        <w:pStyle w:val="25"/>
        <w:ind w:firstLineChars="0"/>
        <w:rPr>
          <w:rFonts w:ascii="黑体" w:hAnsi="黑体" w:eastAsia="黑体"/>
        </w:rPr>
      </w:pPr>
      <w:r>
        <w:rPr>
          <w:rFonts w:hint="eastAsia" w:ascii="黑体" w:hAnsi="黑体" w:eastAsia="黑体"/>
        </w:rPr>
        <w:t>读写器 RFID reader</w:t>
      </w:r>
    </w:p>
    <w:p>
      <w:pPr>
        <w:pStyle w:val="25"/>
      </w:pPr>
      <w:r>
        <w:rPr>
          <w:rFonts w:hint="eastAsia"/>
        </w:rPr>
        <w:t>读写器是一种能阅读或写入电子标签数据的电子设备。</w:t>
      </w:r>
    </w:p>
    <w:p>
      <w:pPr>
        <w:pStyle w:val="126"/>
      </w:pPr>
    </w:p>
    <w:p>
      <w:pPr>
        <w:pStyle w:val="25"/>
        <w:ind w:firstLineChars="0"/>
      </w:pPr>
      <w:r>
        <w:rPr>
          <w:rFonts w:hint="eastAsia" w:ascii="黑体" w:hAnsi="黑体" w:eastAsia="黑体"/>
        </w:rPr>
        <w:t>工作频率 operating frequency</w:t>
      </w:r>
    </w:p>
    <w:p>
      <w:pPr>
        <w:pStyle w:val="25"/>
      </w:pPr>
      <w:r>
        <w:rPr>
          <w:rFonts w:hint="eastAsia"/>
        </w:rPr>
        <w:t>工作频率是射频识别系统最基本的技术参数之一, 指的是标签工作时所采用的频率，即低频、中频、高频、超高频或微波等。</w:t>
      </w:r>
    </w:p>
    <w:p>
      <w:pPr>
        <w:pStyle w:val="126"/>
      </w:pPr>
    </w:p>
    <w:p>
      <w:pPr>
        <w:pStyle w:val="25"/>
        <w:ind w:firstLineChars="0"/>
        <w:rPr>
          <w:rFonts w:ascii="黑体" w:hAnsi="黑体" w:eastAsia="黑体"/>
        </w:rPr>
      </w:pPr>
      <w:r>
        <w:rPr>
          <w:rFonts w:hint="eastAsia" w:ascii="黑体" w:hAnsi="黑体" w:eastAsia="黑体"/>
        </w:rPr>
        <w:t>作用距离 operating distance</w:t>
      </w:r>
    </w:p>
    <w:p>
      <w:pPr>
        <w:pStyle w:val="25"/>
      </w:pPr>
      <w:r>
        <w:rPr>
          <w:rFonts w:hint="eastAsia"/>
        </w:rPr>
        <w:t>射频识别系统的作用距离指的是系统的有效识别距离。影响读写器识别电子标签有效距离的因素很多，主要包括了以下因素：读写器的发射功率、系统的工作频率和电子标签的封装形式等。</w:t>
      </w:r>
    </w:p>
    <w:p>
      <w:pPr>
        <w:pStyle w:val="126"/>
      </w:pPr>
    </w:p>
    <w:p>
      <w:pPr>
        <w:pStyle w:val="25"/>
        <w:ind w:firstLineChars="0"/>
        <w:rPr>
          <w:rFonts w:ascii="黑体" w:hAnsi="黑体" w:eastAsia="黑体"/>
        </w:rPr>
      </w:pPr>
      <w:r>
        <w:rPr>
          <w:rFonts w:hint="eastAsia" w:ascii="黑体" w:hAnsi="黑体" w:eastAsia="黑体"/>
        </w:rPr>
        <w:t>读写速度 read/write rate</w:t>
      </w:r>
    </w:p>
    <w:p>
      <w:pPr>
        <w:pStyle w:val="25"/>
      </w:pPr>
      <w:r>
        <w:rPr>
          <w:rFonts w:hint="eastAsia"/>
        </w:rPr>
        <w:t>读写速度由标签阅读器识别和写入的时间决定，一般为毫秒极。</w:t>
      </w:r>
    </w:p>
    <w:p>
      <w:pPr>
        <w:pStyle w:val="126"/>
      </w:pPr>
    </w:p>
    <w:p>
      <w:pPr>
        <w:pStyle w:val="25"/>
        <w:ind w:firstLineChars="0"/>
        <w:rPr>
          <w:rFonts w:ascii="黑体" w:hAnsi="黑体" w:eastAsia="黑体"/>
        </w:rPr>
      </w:pPr>
      <w:r>
        <w:rPr>
          <w:rFonts w:hint="eastAsia" w:ascii="黑体" w:hAnsi="黑体" w:eastAsia="黑体"/>
        </w:rPr>
        <w:t>传输速率 transmission speed</w:t>
      </w:r>
    </w:p>
    <w:p>
      <w:pPr>
        <w:pStyle w:val="25"/>
      </w:pPr>
      <w:r>
        <w:rPr>
          <w:rFonts w:hint="eastAsia"/>
        </w:rPr>
        <w:t>标签向阅读器反馈所携带的数据的传输速度以及接收来自阅读器的写入数据命令的速率。</w:t>
      </w:r>
    </w:p>
    <w:p>
      <w:pPr>
        <w:pStyle w:val="126"/>
      </w:pPr>
    </w:p>
    <w:p>
      <w:pPr>
        <w:pStyle w:val="25"/>
        <w:ind w:firstLineChars="0"/>
        <w:rPr>
          <w:rFonts w:ascii="黑体" w:hAnsi="黑体" w:eastAsia="黑体"/>
        </w:rPr>
      </w:pPr>
      <w:r>
        <w:rPr>
          <w:rFonts w:hint="eastAsia" w:ascii="黑体" w:hAnsi="黑体" w:eastAsia="黑体"/>
        </w:rPr>
        <w:t>安全要求 security Features</w:t>
      </w:r>
    </w:p>
    <w:p>
      <w:pPr>
        <w:pStyle w:val="25"/>
      </w:pPr>
      <w:r>
        <w:rPr>
          <w:rFonts w:hint="eastAsia"/>
        </w:rPr>
        <w:t>安全性，一般指的是加密和身份认证。对一个计划中的射频识别系统应该就其安全要求做出非常准确的评估，以便从一开始就排除在应用阶段可能会出现的各种危险攻击。为此，要分析系统中存在的各种安全漏洞，攻击出现的可能性等。</w:t>
      </w:r>
    </w:p>
    <w:p>
      <w:pPr>
        <w:pStyle w:val="126"/>
      </w:pPr>
    </w:p>
    <w:p>
      <w:pPr>
        <w:pStyle w:val="25"/>
        <w:ind w:firstLineChars="0"/>
        <w:rPr>
          <w:rFonts w:ascii="黑体" w:hAnsi="黑体" w:eastAsia="黑体"/>
        </w:rPr>
      </w:pPr>
      <w:r>
        <w:rPr>
          <w:rFonts w:hint="eastAsia" w:ascii="黑体" w:hAnsi="黑体" w:eastAsia="黑体"/>
        </w:rPr>
        <w:t>存储容量 memory capacity</w:t>
      </w:r>
    </w:p>
    <w:p>
      <w:pPr>
        <w:pStyle w:val="25"/>
      </w:pPr>
      <w:r>
        <w:rPr>
          <w:rFonts w:hint="eastAsia"/>
        </w:rPr>
        <w:t>指的是电子标签携带的可供写入数据的内存量，一般可以达到1KB（1024</w:t>
      </w:r>
      <w:r>
        <w:t>Byte</w:t>
      </w:r>
      <w:r>
        <w:rPr>
          <w:rFonts w:hint="eastAsia"/>
        </w:rPr>
        <w:t>）的数据量。</w:t>
      </w:r>
    </w:p>
    <w:p>
      <w:pPr>
        <w:pStyle w:val="126"/>
      </w:pPr>
    </w:p>
    <w:p>
      <w:pPr>
        <w:pStyle w:val="25"/>
        <w:ind w:firstLineChars="0"/>
        <w:rPr>
          <w:rFonts w:ascii="黑体" w:hAnsi="黑体" w:eastAsia="黑体"/>
        </w:rPr>
      </w:pPr>
      <w:r>
        <w:rPr>
          <w:rFonts w:hint="eastAsia" w:ascii="黑体" w:hAnsi="黑体" w:eastAsia="黑体"/>
        </w:rPr>
        <w:t>封装形式 package type</w:t>
      </w:r>
    </w:p>
    <w:p>
      <w:pPr>
        <w:pStyle w:val="25"/>
      </w:pPr>
      <w:r>
        <w:rPr>
          <w:rFonts w:hint="eastAsia"/>
        </w:rPr>
        <w:t>针对不同的工作环境，电子标签的大小、形式决定了电子标签的安装与性能的表现，电子标签的封装形式也是需要考虑的参数之一。电子标签的封装形式不仅影响到系统的工作性能，而且影响到系统的安全性能和美观。</w:t>
      </w:r>
    </w:p>
    <w:p>
      <w:pPr>
        <w:pStyle w:val="46"/>
      </w:pPr>
      <w:r>
        <w:rPr>
          <w:rFonts w:hint="eastAsia"/>
        </w:rPr>
        <w:t>农资电子标签的功能要求</w:t>
      </w:r>
    </w:p>
    <w:p>
      <w:pPr>
        <w:pStyle w:val="43"/>
      </w:pPr>
      <w:r>
        <w:rPr>
          <w:rFonts w:hint="eastAsia"/>
        </w:rPr>
        <w:t>基本功能要求</w:t>
      </w:r>
    </w:p>
    <w:p>
      <w:pPr>
        <w:pStyle w:val="25"/>
      </w:pPr>
      <w:r>
        <w:rPr>
          <w:rFonts w:hint="eastAsia"/>
        </w:rPr>
        <w:t>农资追溯电子标签至少应具备以下基本功能：</w:t>
      </w:r>
    </w:p>
    <w:p>
      <w:pPr>
        <w:pStyle w:val="25"/>
      </w:pPr>
      <w:r>
        <w:rPr>
          <w:rFonts w:hint="eastAsia"/>
        </w:rPr>
        <w:t>（1）可以保存标识农资的信息；</w:t>
      </w:r>
    </w:p>
    <w:p>
      <w:pPr>
        <w:pStyle w:val="25"/>
      </w:pPr>
      <w:r>
        <w:rPr>
          <w:rFonts w:hint="eastAsia"/>
        </w:rPr>
        <w:t>（2）可以进行信息的读写；</w:t>
      </w:r>
    </w:p>
    <w:p>
      <w:pPr>
        <w:pStyle w:val="25"/>
      </w:pPr>
      <w:r>
        <w:rPr>
          <w:rFonts w:hint="eastAsia"/>
        </w:rPr>
        <w:t>（3）应具有抗冲撞、抗摩擦、抗腐蚀、抗震动、抗电磁干扰等物理方面的安全保证和防护功能；</w:t>
      </w:r>
    </w:p>
    <w:p>
      <w:pPr>
        <w:pStyle w:val="25"/>
      </w:pPr>
      <w:r>
        <w:rPr>
          <w:rFonts w:hint="eastAsia"/>
        </w:rPr>
        <w:t>（4）应具有防数据丢失、防数据篡改、防数据被非法获取等电子方面的安全保证和防护功能。</w:t>
      </w:r>
    </w:p>
    <w:p>
      <w:pPr>
        <w:pStyle w:val="43"/>
      </w:pPr>
      <w:r>
        <w:rPr>
          <w:rFonts w:hint="eastAsia"/>
        </w:rPr>
        <w:t>电子标签的信息内容</w:t>
      </w:r>
    </w:p>
    <w:p>
      <w:pPr>
        <w:pStyle w:val="47"/>
        <w:spacing w:before="156" w:after="156"/>
        <w:ind w:left="0"/>
      </w:pPr>
      <w:r>
        <w:rPr>
          <w:rFonts w:hint="eastAsia"/>
        </w:rPr>
        <w:t>农资电子标识代码</w:t>
      </w:r>
    </w:p>
    <w:p>
      <w:pPr>
        <w:pStyle w:val="25"/>
      </w:pPr>
      <w:r>
        <w:rPr>
          <w:rFonts w:hint="eastAsia"/>
        </w:rPr>
        <w:t>农资标识代码参照《GH/T 1086-2013</w:t>
      </w:r>
      <w:r>
        <w:rPr>
          <w:rFonts w:hint="eastAsia"/>
        </w:rPr>
        <w:tab/>
      </w:r>
      <w:r>
        <w:rPr>
          <w:rFonts w:hint="eastAsia"/>
        </w:rPr>
        <w:t>农资商品电子代码编码规则》。</w:t>
      </w:r>
    </w:p>
    <w:p>
      <w:pPr>
        <w:pStyle w:val="47"/>
        <w:spacing w:before="156" w:after="156"/>
        <w:ind w:left="0"/>
        <w:rPr>
          <w:szCs w:val="18"/>
        </w:rPr>
      </w:pPr>
      <w:r>
        <w:rPr>
          <w:rFonts w:hint="eastAsia"/>
          <w:szCs w:val="18"/>
        </w:rPr>
        <w:t>农资产品</w:t>
      </w:r>
      <w:r>
        <w:rPr>
          <w:rFonts w:hint="eastAsia"/>
        </w:rPr>
        <w:t>信息</w:t>
      </w:r>
    </w:p>
    <w:p>
      <w:pPr>
        <w:pStyle w:val="127"/>
      </w:pPr>
      <w:r>
        <w:rPr>
          <w:rFonts w:hint="eastAsia"/>
        </w:rPr>
        <w:t>农资产品信息</w:t>
      </w:r>
    </w:p>
    <w:tbl>
      <w:tblPr>
        <w:tblStyle w:val="40"/>
        <w:tblW w:w="67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4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5" w:hRule="atLeast"/>
          <w:jc w:val="center"/>
        </w:trPr>
        <w:tc>
          <w:tcPr>
            <w:tcW w:w="2376" w:type="dxa"/>
            <w:shd w:val="clear" w:color="auto" w:fill="auto"/>
            <w:vAlign w:val="center"/>
          </w:tcPr>
          <w:p>
            <w:pPr>
              <w:pStyle w:val="25"/>
              <w:ind w:firstLine="0" w:firstLineChars="0"/>
              <w:jc w:val="center"/>
              <w:rPr>
                <w:b/>
                <w:szCs w:val="18"/>
              </w:rPr>
            </w:pPr>
            <w:r>
              <w:rPr>
                <w:rFonts w:hint="eastAsia"/>
                <w:b/>
                <w:szCs w:val="18"/>
              </w:rPr>
              <w:t>信息项</w:t>
            </w:r>
          </w:p>
        </w:tc>
        <w:tc>
          <w:tcPr>
            <w:tcW w:w="4396" w:type="dxa"/>
            <w:shd w:val="clear" w:color="auto" w:fill="auto"/>
            <w:vAlign w:val="center"/>
          </w:tcPr>
          <w:p>
            <w:pPr>
              <w:pStyle w:val="25"/>
              <w:ind w:firstLine="0" w:firstLineChars="0"/>
              <w:jc w:val="center"/>
              <w:rPr>
                <w:b/>
                <w:szCs w:val="18"/>
              </w:rPr>
            </w:pPr>
            <w:r>
              <w:rPr>
                <w:rFonts w:hint="eastAsia"/>
                <w:b/>
                <w:szCs w:val="18"/>
              </w:rPr>
              <w:t>信息要求描述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76" w:type="dxa"/>
            <w:shd w:val="clear" w:color="auto" w:fill="auto"/>
            <w:vAlign w:val="center"/>
          </w:tcPr>
          <w:p>
            <w:pPr>
              <w:pStyle w:val="25"/>
              <w:ind w:firstLine="0" w:firstLineChars="0"/>
              <w:jc w:val="center"/>
              <w:rPr>
                <w:szCs w:val="18"/>
              </w:rPr>
            </w:pPr>
            <w:r>
              <w:rPr>
                <w:rFonts w:hint="eastAsia"/>
                <w:szCs w:val="18"/>
              </w:rPr>
              <w:t>产品名称</w:t>
            </w:r>
          </w:p>
        </w:tc>
        <w:tc>
          <w:tcPr>
            <w:tcW w:w="4396" w:type="dxa"/>
            <w:shd w:val="clear" w:color="auto" w:fill="auto"/>
            <w:vAlign w:val="center"/>
          </w:tcPr>
          <w:p>
            <w:pPr>
              <w:pStyle w:val="25"/>
              <w:ind w:firstLine="0" w:firstLineChars="0"/>
              <w:jc w:val="left"/>
              <w:rPr>
                <w:szCs w:val="18"/>
              </w:rPr>
            </w:pPr>
            <w:r>
              <w:rPr>
                <w:rFonts w:hint="eastAsia"/>
                <w:szCs w:val="18"/>
              </w:rPr>
              <w:t>产品的商品名称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76" w:type="dxa"/>
            <w:shd w:val="clear" w:color="auto" w:fill="auto"/>
            <w:vAlign w:val="center"/>
          </w:tcPr>
          <w:p>
            <w:pPr>
              <w:pStyle w:val="25"/>
              <w:ind w:firstLine="0" w:firstLineChars="0"/>
              <w:jc w:val="center"/>
              <w:rPr>
                <w:szCs w:val="18"/>
              </w:rPr>
            </w:pPr>
            <w:r>
              <w:rPr>
                <w:rFonts w:hint="eastAsia"/>
              </w:rPr>
              <w:t>产品批次</w:t>
            </w:r>
          </w:p>
        </w:tc>
        <w:tc>
          <w:tcPr>
            <w:tcW w:w="4396" w:type="dxa"/>
            <w:shd w:val="clear" w:color="auto" w:fill="auto"/>
            <w:vAlign w:val="center"/>
          </w:tcPr>
          <w:p>
            <w:pPr>
              <w:pStyle w:val="25"/>
              <w:ind w:firstLine="0" w:firstLineChars="0"/>
              <w:jc w:val="left"/>
              <w:rPr>
                <w:szCs w:val="18"/>
              </w:rPr>
            </w:pPr>
            <w:r>
              <w:rPr>
                <w:rFonts w:hint="eastAsia"/>
              </w:rPr>
              <w:t>产品批次编码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76" w:type="dxa"/>
            <w:shd w:val="clear" w:color="auto" w:fill="auto"/>
            <w:vAlign w:val="center"/>
          </w:tcPr>
          <w:p>
            <w:pPr>
              <w:pStyle w:val="25"/>
              <w:ind w:firstLine="0" w:firstLineChars="0"/>
              <w:jc w:val="center"/>
              <w:rPr>
                <w:szCs w:val="18"/>
              </w:rPr>
            </w:pPr>
            <w:r>
              <w:rPr>
                <w:rFonts w:hint="eastAsia"/>
              </w:rPr>
              <w:t>生产日期</w:t>
            </w:r>
          </w:p>
        </w:tc>
        <w:tc>
          <w:tcPr>
            <w:tcW w:w="4396" w:type="dxa"/>
            <w:shd w:val="clear" w:color="auto" w:fill="auto"/>
            <w:vAlign w:val="center"/>
          </w:tcPr>
          <w:p>
            <w:pPr>
              <w:pStyle w:val="25"/>
              <w:ind w:firstLine="0" w:firstLineChars="0"/>
              <w:jc w:val="left"/>
              <w:rPr>
                <w:szCs w:val="18"/>
              </w:rPr>
            </w:pPr>
            <w:r>
              <w:rPr>
                <w:rFonts w:hint="eastAsia"/>
                <w:szCs w:val="18"/>
              </w:rPr>
              <w:t>产品的生产日期，yyMMdd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76" w:type="dxa"/>
            <w:shd w:val="clear" w:color="auto" w:fill="auto"/>
            <w:vAlign w:val="center"/>
          </w:tcPr>
          <w:p>
            <w:pPr>
              <w:pStyle w:val="25"/>
              <w:ind w:firstLine="0" w:firstLineChars="0"/>
              <w:jc w:val="center"/>
              <w:rPr>
                <w:szCs w:val="18"/>
              </w:rPr>
            </w:pPr>
            <w:r>
              <w:rPr>
                <w:rFonts w:hint="eastAsia"/>
              </w:rPr>
              <w:t>生产商代码</w:t>
            </w:r>
          </w:p>
        </w:tc>
        <w:tc>
          <w:tcPr>
            <w:tcW w:w="4396" w:type="dxa"/>
            <w:shd w:val="clear" w:color="auto" w:fill="auto"/>
            <w:vAlign w:val="center"/>
          </w:tcPr>
          <w:p>
            <w:pPr>
              <w:pStyle w:val="25"/>
              <w:ind w:firstLine="0" w:firstLineChars="0"/>
              <w:jc w:val="left"/>
              <w:rPr>
                <w:szCs w:val="18"/>
              </w:rPr>
            </w:pPr>
            <w:r>
              <w:rPr>
                <w:rFonts w:hint="eastAsia"/>
                <w:szCs w:val="18"/>
              </w:rPr>
              <w:t>生产商的登记代码</w:t>
            </w:r>
          </w:p>
        </w:tc>
      </w:tr>
    </w:tbl>
    <w:p>
      <w:pPr>
        <w:pStyle w:val="47"/>
        <w:spacing w:before="156" w:after="156"/>
        <w:ind w:left="0"/>
        <w:rPr>
          <w:szCs w:val="18"/>
        </w:rPr>
      </w:pPr>
      <w:r>
        <w:rPr>
          <w:rFonts w:hint="eastAsia"/>
          <w:szCs w:val="18"/>
        </w:rPr>
        <w:t>农资流通信息</w:t>
      </w:r>
    </w:p>
    <w:p>
      <w:pPr>
        <w:pStyle w:val="127"/>
        <w:tabs>
          <w:tab w:val="left" w:pos="360"/>
        </w:tabs>
      </w:pPr>
      <w:r>
        <w:rPr>
          <w:rFonts w:hint="eastAsia"/>
        </w:rPr>
        <w:t>农资流通信息</w:t>
      </w:r>
    </w:p>
    <w:tbl>
      <w:tblPr>
        <w:tblStyle w:val="40"/>
        <w:tblW w:w="67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6"/>
        <w:gridCol w:w="4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5" w:hRule="atLeast"/>
          <w:jc w:val="center"/>
        </w:trPr>
        <w:tc>
          <w:tcPr>
            <w:tcW w:w="2376" w:type="dxa"/>
            <w:shd w:val="clear" w:color="auto" w:fill="auto"/>
            <w:vAlign w:val="center"/>
          </w:tcPr>
          <w:p>
            <w:pPr>
              <w:pStyle w:val="25"/>
              <w:ind w:firstLine="0" w:firstLineChars="0"/>
              <w:jc w:val="center"/>
              <w:rPr>
                <w:b/>
                <w:szCs w:val="18"/>
              </w:rPr>
            </w:pPr>
            <w:r>
              <w:rPr>
                <w:rFonts w:hint="eastAsia"/>
                <w:b/>
                <w:szCs w:val="18"/>
              </w:rPr>
              <w:t>信息项</w:t>
            </w:r>
          </w:p>
        </w:tc>
        <w:tc>
          <w:tcPr>
            <w:tcW w:w="4396" w:type="dxa"/>
            <w:shd w:val="clear" w:color="auto" w:fill="auto"/>
            <w:vAlign w:val="center"/>
          </w:tcPr>
          <w:p>
            <w:pPr>
              <w:pStyle w:val="25"/>
              <w:ind w:firstLine="0" w:firstLineChars="0"/>
              <w:jc w:val="center"/>
              <w:rPr>
                <w:b/>
                <w:szCs w:val="18"/>
              </w:rPr>
            </w:pPr>
            <w:r>
              <w:rPr>
                <w:rFonts w:hint="eastAsia"/>
                <w:b/>
                <w:szCs w:val="18"/>
              </w:rPr>
              <w:t>信息要求描述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25"/>
              <w:rPr>
                <w:szCs w:val="18"/>
              </w:rPr>
            </w:pPr>
            <w:r>
              <w:rPr>
                <w:rFonts w:hint="eastAsia"/>
                <w:szCs w:val="18"/>
              </w:rPr>
              <w:t>经销商代码</w:t>
            </w:r>
          </w:p>
        </w:tc>
        <w:tc>
          <w:tcPr>
            <w:tcW w:w="4396" w:type="dxa"/>
            <w:shd w:val="clear" w:color="auto" w:fill="auto"/>
            <w:vAlign w:val="center"/>
          </w:tcPr>
          <w:p>
            <w:pPr>
              <w:pStyle w:val="25"/>
              <w:ind w:firstLine="0" w:firstLineChars="0"/>
              <w:jc w:val="left"/>
              <w:rPr>
                <w:szCs w:val="18"/>
              </w:rPr>
            </w:pPr>
            <w:r>
              <w:rPr>
                <w:rFonts w:hint="eastAsia"/>
                <w:szCs w:val="18"/>
              </w:rPr>
              <w:t>经销商的登记代码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25"/>
            </w:pPr>
            <w:r>
              <w:rPr>
                <w:rFonts w:hint="eastAsia"/>
                <w:szCs w:val="18"/>
              </w:rPr>
              <w:t>销售时间</w:t>
            </w:r>
          </w:p>
        </w:tc>
        <w:tc>
          <w:tcPr>
            <w:tcW w:w="4396" w:type="dxa"/>
            <w:shd w:val="clear" w:color="auto" w:fill="auto"/>
            <w:vAlign w:val="center"/>
          </w:tcPr>
          <w:p>
            <w:pPr>
              <w:pStyle w:val="25"/>
              <w:ind w:firstLine="0" w:firstLineChars="0"/>
              <w:jc w:val="left"/>
              <w:rPr>
                <w:szCs w:val="18"/>
              </w:rPr>
            </w:pPr>
            <w:r>
              <w:rPr>
                <w:rFonts w:hint="eastAsia"/>
                <w:szCs w:val="18"/>
              </w:rPr>
              <w:t>产品的销售日期，yyMMdd</w:t>
            </w:r>
          </w:p>
        </w:tc>
      </w:tr>
    </w:tbl>
    <w:p>
      <w:pPr>
        <w:pStyle w:val="43"/>
      </w:pPr>
      <w:r>
        <w:rPr>
          <w:rFonts w:hint="eastAsia"/>
        </w:rPr>
        <w:t>数据存储</w:t>
      </w:r>
    </w:p>
    <w:p>
      <w:pPr>
        <w:pStyle w:val="47"/>
        <w:spacing w:before="156" w:after="156"/>
      </w:pPr>
      <w:r>
        <w:rPr>
          <w:rFonts w:hint="eastAsia"/>
        </w:rPr>
        <w:t>存储分区</w:t>
      </w:r>
    </w:p>
    <w:p>
      <w:pPr>
        <w:pStyle w:val="25"/>
      </w:pPr>
      <w:r>
        <w:rPr>
          <w:rFonts w:hint="eastAsia"/>
        </w:rPr>
        <w:t>依据存储内容不同，数据存储区分为农资电子标识代码、农资产品信息、农资流通信息。</w:t>
      </w:r>
    </w:p>
    <w:p>
      <w:pPr>
        <w:pStyle w:val="47"/>
        <w:spacing w:before="156" w:after="156"/>
      </w:pPr>
      <w:r>
        <w:rPr>
          <w:rFonts w:hint="eastAsia"/>
        </w:rPr>
        <w:t>农资电子标识代码区</w:t>
      </w:r>
    </w:p>
    <w:p>
      <w:pPr>
        <w:pStyle w:val="25"/>
      </w:pPr>
      <w:r>
        <w:rPr>
          <w:rFonts w:hint="eastAsia"/>
        </w:rPr>
        <w:t>农资电子标识代码区是标识农资代码的数据区，该区域一次性写入，不可修改。</w:t>
      </w:r>
    </w:p>
    <w:p>
      <w:pPr>
        <w:pStyle w:val="127"/>
        <w:tabs>
          <w:tab w:val="left" w:pos="360"/>
        </w:tabs>
      </w:pPr>
      <w:r>
        <w:rPr>
          <w:rFonts w:hint="eastAsia"/>
        </w:rPr>
        <w:t>农资产品信息</w:t>
      </w:r>
    </w:p>
    <w:tbl>
      <w:tblPr>
        <w:tblStyle w:val="40"/>
        <w:tblW w:w="5277" w:type="dxa"/>
        <w:jc w:val="center"/>
        <w:tblInd w:w="3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98"/>
        <w:gridCol w:w="2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5" w:hRule="atLeast"/>
          <w:jc w:val="center"/>
        </w:trPr>
        <w:tc>
          <w:tcPr>
            <w:tcW w:w="2498" w:type="dxa"/>
            <w:shd w:val="clear" w:color="auto" w:fill="auto"/>
            <w:vAlign w:val="center"/>
          </w:tcPr>
          <w:p>
            <w:pPr>
              <w:pStyle w:val="25"/>
              <w:ind w:firstLine="0" w:firstLineChars="0"/>
              <w:jc w:val="center"/>
              <w:rPr>
                <w:b/>
                <w:szCs w:val="18"/>
              </w:rPr>
            </w:pPr>
            <w:r>
              <w:rPr>
                <w:rFonts w:hint="eastAsia"/>
                <w:b/>
                <w:szCs w:val="18"/>
              </w:rPr>
              <w:t>数据项</w:t>
            </w:r>
          </w:p>
        </w:tc>
        <w:tc>
          <w:tcPr>
            <w:tcW w:w="2779" w:type="dxa"/>
            <w:vAlign w:val="center"/>
          </w:tcPr>
          <w:p>
            <w:pPr>
              <w:pStyle w:val="25"/>
              <w:ind w:firstLine="0" w:firstLineChars="0"/>
              <w:jc w:val="center"/>
              <w:rPr>
                <w:b/>
                <w:szCs w:val="18"/>
              </w:rPr>
            </w:pPr>
            <w:r>
              <w:rPr>
                <w:rFonts w:hint="eastAsia"/>
                <w:b/>
                <w:szCs w:val="18"/>
              </w:rPr>
              <w:t>长度（Byte）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498" w:type="dxa"/>
            <w:shd w:val="clear" w:color="auto" w:fill="auto"/>
            <w:vAlign w:val="center"/>
          </w:tcPr>
          <w:p>
            <w:pPr>
              <w:pStyle w:val="25"/>
              <w:ind w:firstLine="0" w:firstLineChars="0"/>
              <w:jc w:val="center"/>
              <w:rPr>
                <w:szCs w:val="18"/>
              </w:rPr>
            </w:pPr>
            <w:r>
              <w:rPr>
                <w:rFonts w:hint="eastAsia"/>
              </w:rPr>
              <w:t>农资电子标识代码</w:t>
            </w:r>
          </w:p>
        </w:tc>
        <w:tc>
          <w:tcPr>
            <w:tcW w:w="2779" w:type="dxa"/>
            <w:vAlign w:val="center"/>
          </w:tcPr>
          <w:p>
            <w:pPr>
              <w:pStyle w:val="25"/>
              <w:ind w:firstLine="0" w:firstLineChars="0"/>
              <w:jc w:val="center"/>
              <w:rPr>
                <w:szCs w:val="18"/>
              </w:rPr>
            </w:pPr>
            <w:r>
              <w:rPr>
                <w:rFonts w:hint="eastAsia"/>
                <w:szCs w:val="18"/>
              </w:rPr>
              <w:t>25</w:t>
            </w:r>
          </w:p>
        </w:tc>
      </w:tr>
    </w:tbl>
    <w:p>
      <w:pPr>
        <w:pStyle w:val="47"/>
        <w:spacing w:before="156" w:after="156"/>
        <w:ind w:left="0"/>
      </w:pPr>
      <w:r>
        <w:rPr>
          <w:rFonts w:hint="eastAsia"/>
        </w:rPr>
        <w:t>农资产品信息</w:t>
      </w:r>
    </w:p>
    <w:p>
      <w:pPr>
        <w:pStyle w:val="25"/>
      </w:pPr>
      <w:r>
        <w:rPr>
          <w:rFonts w:hint="eastAsia"/>
        </w:rPr>
        <w:t>记录农资产品名称、批次、生产日期、生产商</w:t>
      </w:r>
      <w:r>
        <w:rPr>
          <w:rFonts w:hint="eastAsia"/>
          <w:szCs w:val="18"/>
        </w:rPr>
        <w:t>代码</w:t>
      </w:r>
      <w:r>
        <w:rPr>
          <w:rFonts w:hint="eastAsia"/>
        </w:rPr>
        <w:t>等。</w:t>
      </w:r>
    </w:p>
    <w:p>
      <w:pPr>
        <w:pStyle w:val="127"/>
        <w:tabs>
          <w:tab w:val="left" w:pos="360"/>
        </w:tabs>
      </w:pPr>
      <w:r>
        <w:rPr>
          <w:rFonts w:hint="eastAsia"/>
        </w:rPr>
        <w:t>农资产品信息</w:t>
      </w:r>
    </w:p>
    <w:tbl>
      <w:tblPr>
        <w:tblStyle w:val="40"/>
        <w:tblW w:w="531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19"/>
        <w:gridCol w:w="27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5" w:hRule="atLeast"/>
          <w:jc w:val="center"/>
        </w:trPr>
        <w:tc>
          <w:tcPr>
            <w:tcW w:w="2519" w:type="dxa"/>
            <w:shd w:val="clear" w:color="auto" w:fill="auto"/>
            <w:vAlign w:val="center"/>
          </w:tcPr>
          <w:p>
            <w:pPr>
              <w:pStyle w:val="25"/>
              <w:ind w:firstLine="0" w:firstLineChars="0"/>
              <w:jc w:val="center"/>
              <w:rPr>
                <w:b/>
                <w:szCs w:val="18"/>
              </w:rPr>
            </w:pPr>
            <w:r>
              <w:rPr>
                <w:rFonts w:hint="eastAsia"/>
                <w:b/>
                <w:szCs w:val="18"/>
              </w:rPr>
              <w:t>数据项</w:t>
            </w:r>
          </w:p>
        </w:tc>
        <w:tc>
          <w:tcPr>
            <w:tcW w:w="2796" w:type="dxa"/>
            <w:vAlign w:val="center"/>
          </w:tcPr>
          <w:p>
            <w:pPr>
              <w:pStyle w:val="25"/>
              <w:ind w:firstLine="0" w:firstLineChars="0"/>
              <w:jc w:val="center"/>
              <w:rPr>
                <w:b/>
                <w:szCs w:val="18"/>
              </w:rPr>
            </w:pPr>
            <w:r>
              <w:rPr>
                <w:rFonts w:hint="eastAsia"/>
                <w:b/>
                <w:szCs w:val="18"/>
              </w:rPr>
              <w:t>长度（Byte）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19" w:type="dxa"/>
            <w:shd w:val="clear" w:color="auto" w:fill="auto"/>
            <w:vAlign w:val="center"/>
          </w:tcPr>
          <w:p>
            <w:pPr>
              <w:pStyle w:val="25"/>
              <w:ind w:firstLine="0" w:firstLineChars="0"/>
              <w:jc w:val="center"/>
              <w:rPr>
                <w:szCs w:val="18"/>
              </w:rPr>
            </w:pPr>
            <w:r>
              <w:rPr>
                <w:rFonts w:hint="eastAsia"/>
                <w:szCs w:val="18"/>
              </w:rPr>
              <w:t>产品名称</w:t>
            </w:r>
          </w:p>
        </w:tc>
        <w:tc>
          <w:tcPr>
            <w:tcW w:w="2796" w:type="dxa"/>
            <w:vAlign w:val="center"/>
          </w:tcPr>
          <w:p>
            <w:pPr>
              <w:pStyle w:val="25"/>
              <w:ind w:firstLine="0" w:firstLineChars="0"/>
              <w:jc w:val="center"/>
              <w:rPr>
                <w:szCs w:val="18"/>
              </w:rPr>
            </w:pPr>
            <w:r>
              <w:rPr>
                <w:rFonts w:hint="eastAsia"/>
                <w:szCs w:val="18"/>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19" w:type="dxa"/>
            <w:shd w:val="clear" w:color="auto" w:fill="auto"/>
            <w:vAlign w:val="center"/>
          </w:tcPr>
          <w:p>
            <w:pPr>
              <w:pStyle w:val="25"/>
              <w:ind w:firstLine="0" w:firstLineChars="0"/>
              <w:jc w:val="center"/>
              <w:rPr>
                <w:szCs w:val="18"/>
              </w:rPr>
            </w:pPr>
            <w:r>
              <w:rPr>
                <w:rFonts w:hint="eastAsia"/>
              </w:rPr>
              <w:t>产品批次</w:t>
            </w:r>
          </w:p>
        </w:tc>
        <w:tc>
          <w:tcPr>
            <w:tcW w:w="2796" w:type="dxa"/>
            <w:vAlign w:val="center"/>
          </w:tcPr>
          <w:p>
            <w:pPr>
              <w:pStyle w:val="25"/>
              <w:ind w:firstLine="0" w:firstLineChars="0"/>
              <w:jc w:val="center"/>
              <w:rPr>
                <w:szCs w:val="18"/>
              </w:rPr>
            </w:pPr>
            <w:r>
              <w:rPr>
                <w:rFonts w:hint="eastAsia"/>
                <w:szCs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19" w:type="dxa"/>
            <w:shd w:val="clear" w:color="auto" w:fill="auto"/>
            <w:vAlign w:val="center"/>
          </w:tcPr>
          <w:p>
            <w:pPr>
              <w:pStyle w:val="25"/>
              <w:ind w:firstLine="0" w:firstLineChars="0"/>
              <w:jc w:val="center"/>
              <w:rPr>
                <w:szCs w:val="18"/>
              </w:rPr>
            </w:pPr>
            <w:r>
              <w:rPr>
                <w:rFonts w:hint="eastAsia"/>
              </w:rPr>
              <w:t>生产日期</w:t>
            </w:r>
          </w:p>
        </w:tc>
        <w:tc>
          <w:tcPr>
            <w:tcW w:w="2796" w:type="dxa"/>
            <w:vAlign w:val="center"/>
          </w:tcPr>
          <w:p>
            <w:pPr>
              <w:pStyle w:val="25"/>
              <w:ind w:firstLine="0" w:firstLineChars="0"/>
              <w:jc w:val="center"/>
              <w:rPr>
                <w:szCs w:val="18"/>
              </w:rPr>
            </w:pPr>
            <w:r>
              <w:rPr>
                <w:rFonts w:hint="eastAsia"/>
                <w:szCs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19" w:type="dxa"/>
            <w:shd w:val="clear" w:color="auto" w:fill="auto"/>
            <w:vAlign w:val="center"/>
          </w:tcPr>
          <w:p>
            <w:pPr>
              <w:pStyle w:val="25"/>
              <w:ind w:firstLine="0" w:firstLineChars="0"/>
              <w:jc w:val="center"/>
              <w:rPr>
                <w:szCs w:val="18"/>
              </w:rPr>
            </w:pPr>
            <w:r>
              <w:rPr>
                <w:rFonts w:hint="eastAsia"/>
              </w:rPr>
              <w:t>生产商</w:t>
            </w:r>
            <w:r>
              <w:rPr>
                <w:rFonts w:hint="eastAsia"/>
                <w:szCs w:val="18"/>
              </w:rPr>
              <w:t>代码</w:t>
            </w:r>
          </w:p>
        </w:tc>
        <w:tc>
          <w:tcPr>
            <w:tcW w:w="2796" w:type="dxa"/>
            <w:vAlign w:val="center"/>
          </w:tcPr>
          <w:p>
            <w:pPr>
              <w:pStyle w:val="25"/>
              <w:ind w:firstLine="0" w:firstLineChars="0"/>
              <w:jc w:val="center"/>
              <w:rPr>
                <w:szCs w:val="18"/>
              </w:rPr>
            </w:pPr>
            <w:r>
              <w:rPr>
                <w:rFonts w:hint="eastAsia"/>
                <w:szCs w:val="18"/>
              </w:rPr>
              <w:t>18</w:t>
            </w:r>
          </w:p>
        </w:tc>
      </w:tr>
    </w:tbl>
    <w:p>
      <w:pPr>
        <w:pStyle w:val="47"/>
        <w:spacing w:before="156" w:after="156"/>
        <w:ind w:left="0"/>
      </w:pPr>
      <w:r>
        <w:rPr>
          <w:rFonts w:hint="eastAsia"/>
        </w:rPr>
        <w:t>农资流通信息</w:t>
      </w:r>
    </w:p>
    <w:p>
      <w:pPr>
        <w:pStyle w:val="25"/>
      </w:pPr>
      <w:r>
        <w:rPr>
          <w:rFonts w:hint="eastAsia"/>
        </w:rPr>
        <w:t>可根据流通过程进行记录，如：经销商</w:t>
      </w:r>
      <w:r>
        <w:rPr>
          <w:rFonts w:hint="eastAsia"/>
          <w:szCs w:val="18"/>
        </w:rPr>
        <w:t>代码</w:t>
      </w:r>
      <w:r>
        <w:rPr>
          <w:rFonts w:hint="eastAsia"/>
        </w:rPr>
        <w:t>、销售日期等。</w:t>
      </w:r>
    </w:p>
    <w:p>
      <w:pPr>
        <w:pStyle w:val="127"/>
        <w:tabs>
          <w:tab w:val="left" w:pos="360"/>
        </w:tabs>
      </w:pPr>
      <w:r>
        <w:rPr>
          <w:rFonts w:hint="eastAsia"/>
        </w:rPr>
        <w:t>农资流通信息</w:t>
      </w:r>
    </w:p>
    <w:tbl>
      <w:tblPr>
        <w:tblStyle w:val="40"/>
        <w:tblW w:w="531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19"/>
        <w:gridCol w:w="27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55" w:hRule="atLeast"/>
          <w:jc w:val="center"/>
        </w:trPr>
        <w:tc>
          <w:tcPr>
            <w:tcW w:w="2519" w:type="dxa"/>
            <w:shd w:val="clear" w:color="auto" w:fill="auto"/>
            <w:vAlign w:val="center"/>
          </w:tcPr>
          <w:p>
            <w:pPr>
              <w:pStyle w:val="25"/>
              <w:ind w:firstLine="0" w:firstLineChars="0"/>
              <w:jc w:val="center"/>
              <w:rPr>
                <w:b/>
                <w:szCs w:val="18"/>
              </w:rPr>
            </w:pPr>
            <w:r>
              <w:rPr>
                <w:rFonts w:hint="eastAsia"/>
                <w:b/>
                <w:szCs w:val="18"/>
              </w:rPr>
              <w:t>数据项</w:t>
            </w:r>
          </w:p>
        </w:tc>
        <w:tc>
          <w:tcPr>
            <w:tcW w:w="2796" w:type="dxa"/>
            <w:vAlign w:val="center"/>
          </w:tcPr>
          <w:p>
            <w:pPr>
              <w:pStyle w:val="25"/>
              <w:ind w:firstLine="0" w:firstLineChars="0"/>
              <w:jc w:val="center"/>
              <w:rPr>
                <w:b/>
                <w:szCs w:val="18"/>
              </w:rPr>
            </w:pPr>
            <w:r>
              <w:rPr>
                <w:rFonts w:hint="eastAsia"/>
                <w:b/>
                <w:szCs w:val="18"/>
              </w:rPr>
              <w:t>长度（Byte）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19" w:type="dxa"/>
            <w:shd w:val="clear" w:color="auto" w:fill="auto"/>
          </w:tcPr>
          <w:p>
            <w:pPr>
              <w:pStyle w:val="25"/>
              <w:rPr>
                <w:szCs w:val="18"/>
              </w:rPr>
            </w:pPr>
            <w:r>
              <w:rPr>
                <w:rFonts w:hint="eastAsia"/>
                <w:szCs w:val="18"/>
              </w:rPr>
              <w:t>经销商代码</w:t>
            </w:r>
          </w:p>
        </w:tc>
        <w:tc>
          <w:tcPr>
            <w:tcW w:w="2796" w:type="dxa"/>
            <w:vAlign w:val="center"/>
          </w:tcPr>
          <w:p>
            <w:pPr>
              <w:pStyle w:val="25"/>
              <w:ind w:firstLine="0" w:firstLineChars="0"/>
              <w:jc w:val="center"/>
              <w:rPr>
                <w:szCs w:val="18"/>
              </w:rPr>
            </w:pPr>
            <w:r>
              <w:rPr>
                <w:rFonts w:hint="eastAsia"/>
                <w:szCs w:val="18"/>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19" w:type="dxa"/>
            <w:shd w:val="clear" w:color="auto" w:fill="auto"/>
          </w:tcPr>
          <w:p>
            <w:pPr>
              <w:pStyle w:val="25"/>
            </w:pPr>
            <w:r>
              <w:rPr>
                <w:rFonts w:hint="eastAsia"/>
                <w:szCs w:val="18"/>
              </w:rPr>
              <w:t>销售日期</w:t>
            </w:r>
          </w:p>
        </w:tc>
        <w:tc>
          <w:tcPr>
            <w:tcW w:w="2796" w:type="dxa"/>
            <w:vAlign w:val="center"/>
          </w:tcPr>
          <w:p>
            <w:pPr>
              <w:pStyle w:val="25"/>
              <w:ind w:firstLine="0" w:firstLineChars="0"/>
              <w:jc w:val="center"/>
              <w:rPr>
                <w:szCs w:val="18"/>
              </w:rPr>
            </w:pPr>
            <w:r>
              <w:rPr>
                <w:rFonts w:hint="eastAsia"/>
                <w:szCs w:val="18"/>
              </w:rPr>
              <w:t>6</w:t>
            </w:r>
          </w:p>
        </w:tc>
      </w:tr>
    </w:tbl>
    <w:p>
      <w:pPr>
        <w:pStyle w:val="46"/>
      </w:pPr>
      <w:r>
        <w:rPr>
          <w:rFonts w:hint="eastAsia"/>
        </w:rPr>
        <w:t>农资电子标签的性能要求</w:t>
      </w:r>
    </w:p>
    <w:p>
      <w:pPr>
        <w:pStyle w:val="43"/>
      </w:pPr>
      <w:r>
        <w:rPr>
          <w:rFonts w:hint="eastAsia"/>
        </w:rPr>
        <w:t>封装要求</w:t>
      </w:r>
    </w:p>
    <w:p>
      <w:pPr>
        <w:pStyle w:val="47"/>
        <w:spacing w:before="156" w:after="156"/>
        <w:ind w:left="0"/>
      </w:pPr>
      <w:r>
        <w:rPr>
          <w:rFonts w:hint="eastAsia"/>
        </w:rPr>
        <w:t>材质</w:t>
      </w:r>
    </w:p>
    <w:p>
      <w:pPr>
        <w:pStyle w:val="25"/>
      </w:pPr>
      <w:r>
        <w:rPr>
          <w:rFonts w:hint="eastAsia"/>
        </w:rPr>
        <w:t>应采用防水、防污染、防腐蚀材料封装，标签可在潮湿、振动、粉尘等恶劣环境条件下工作。</w:t>
      </w:r>
    </w:p>
    <w:p>
      <w:pPr>
        <w:pStyle w:val="47"/>
        <w:spacing w:before="156" w:after="156"/>
        <w:ind w:left="0"/>
      </w:pPr>
      <w:r>
        <w:rPr>
          <w:rFonts w:hint="eastAsia"/>
        </w:rPr>
        <w:t>样式</w:t>
      </w:r>
    </w:p>
    <w:p>
      <w:pPr>
        <w:pStyle w:val="25"/>
      </w:pPr>
      <w:r>
        <w:rPr>
          <w:rFonts w:hint="eastAsia"/>
        </w:rPr>
        <w:t>封装在农资标签的固定位置，并给出提示。</w:t>
      </w:r>
    </w:p>
    <w:p>
      <w:pPr>
        <w:pStyle w:val="43"/>
      </w:pPr>
      <w:r>
        <w:rPr>
          <w:rFonts w:hint="eastAsia"/>
        </w:rPr>
        <w:t>工作频率</w:t>
      </w:r>
    </w:p>
    <w:p>
      <w:pPr>
        <w:pStyle w:val="25"/>
      </w:pPr>
      <w:r>
        <w:rPr>
          <w:rFonts w:hint="eastAsia"/>
        </w:rPr>
        <w:t>工作频率为13.56MHz±</w:t>
      </w:r>
      <w:r>
        <w:t>7kHz</w:t>
      </w:r>
      <w:r>
        <w:rPr>
          <w:rFonts w:hint="eastAsia"/>
        </w:rPr>
        <w:t>。</w:t>
      </w:r>
    </w:p>
    <w:p>
      <w:pPr>
        <w:pStyle w:val="43"/>
      </w:pPr>
      <w:r>
        <w:rPr>
          <w:rFonts w:hint="eastAsia"/>
        </w:rPr>
        <w:t>作用距离</w:t>
      </w:r>
    </w:p>
    <w:p>
      <w:pPr>
        <w:pStyle w:val="25"/>
      </w:pPr>
      <w:r>
        <w:rPr>
          <w:rFonts w:hint="eastAsia"/>
        </w:rPr>
        <w:t>在距离农资电子标识不小于 10厘米时，应能正常识读。</w:t>
      </w:r>
    </w:p>
    <w:p>
      <w:pPr>
        <w:pStyle w:val="43"/>
      </w:pPr>
      <w:r>
        <w:rPr>
          <w:rFonts w:hint="eastAsia"/>
        </w:rPr>
        <w:t>存储容量</w:t>
      </w:r>
    </w:p>
    <w:p>
      <w:pPr>
        <w:pStyle w:val="25"/>
      </w:pPr>
      <w:r>
        <w:rPr>
          <w:rFonts w:hint="eastAsia"/>
        </w:rPr>
        <w:t>存储容量应不小于1Kbits。</w:t>
      </w:r>
    </w:p>
    <w:p>
      <w:pPr>
        <w:pStyle w:val="43"/>
      </w:pPr>
      <w:r>
        <w:rPr>
          <w:rFonts w:hint="eastAsia"/>
        </w:rPr>
        <w:t>数据传输速率</w:t>
      </w:r>
    </w:p>
    <w:p>
      <w:pPr>
        <w:pStyle w:val="25"/>
      </w:pPr>
      <w:r>
        <w:rPr>
          <w:rFonts w:hint="eastAsia"/>
        </w:rPr>
        <w:t>电子标签与阅读器的数据传输速率应大于100kbit/s。</w:t>
      </w:r>
    </w:p>
    <w:p>
      <w:pPr>
        <w:pStyle w:val="43"/>
      </w:pPr>
      <w:r>
        <w:rPr>
          <w:rFonts w:hint="eastAsia"/>
        </w:rPr>
        <w:t>环境适应性</w:t>
      </w:r>
    </w:p>
    <w:p>
      <w:pPr>
        <w:pStyle w:val="47"/>
        <w:spacing w:before="156" w:after="156"/>
        <w:ind w:left="0"/>
      </w:pPr>
      <w:r>
        <w:rPr>
          <w:rFonts w:hint="eastAsia"/>
        </w:rPr>
        <w:t>工作温度</w:t>
      </w:r>
    </w:p>
    <w:p>
      <w:pPr>
        <w:pStyle w:val="25"/>
      </w:pPr>
      <w:r>
        <w:rPr>
          <w:rFonts w:hint="eastAsia"/>
        </w:rPr>
        <w:t>工作温度应该适应-25℃～70℃。</w:t>
      </w:r>
    </w:p>
    <w:p>
      <w:pPr>
        <w:pStyle w:val="47"/>
        <w:spacing w:before="156" w:after="156"/>
        <w:ind w:left="0"/>
      </w:pPr>
      <w:r>
        <w:rPr>
          <w:rFonts w:hint="eastAsia"/>
        </w:rPr>
        <w:t>湿度</w:t>
      </w:r>
    </w:p>
    <w:p>
      <w:pPr>
        <w:pStyle w:val="25"/>
      </w:pPr>
      <w:r>
        <w:rPr>
          <w:rFonts w:hint="eastAsia"/>
        </w:rPr>
        <w:t>在空气相对湿度为5%～70%之间能正常工作。</w:t>
      </w:r>
    </w:p>
    <w:p>
      <w:pPr>
        <w:pStyle w:val="43"/>
      </w:pPr>
      <w:r>
        <w:rPr>
          <w:rFonts w:hint="eastAsia"/>
        </w:rPr>
        <w:t>电子标识安全要求</w:t>
      </w:r>
    </w:p>
    <w:p>
      <w:pPr>
        <w:pStyle w:val="25"/>
      </w:pPr>
      <w:r>
        <w:rPr>
          <w:rFonts w:hint="eastAsia"/>
        </w:rPr>
        <w:t>标识代码采用明文的方式存储。</w:t>
      </w:r>
    </w:p>
    <w:p>
      <w:pPr>
        <w:pStyle w:val="46"/>
      </w:pPr>
      <w:r>
        <w:rPr>
          <w:rFonts w:hint="eastAsia"/>
        </w:rPr>
        <w:t>读写器技术规范</w:t>
      </w:r>
    </w:p>
    <w:p>
      <w:pPr>
        <w:pStyle w:val="43"/>
      </w:pPr>
      <w:r>
        <w:rPr>
          <w:rFonts w:hint="eastAsia"/>
        </w:rPr>
        <w:t>工作距离</w:t>
      </w:r>
    </w:p>
    <w:p>
      <w:pPr>
        <w:pStyle w:val="25"/>
      </w:pPr>
      <w:r>
        <w:rPr>
          <w:rFonts w:hint="eastAsia"/>
        </w:rPr>
        <w:t>在距离农资电子标识不小于 10厘米时，应能正常识读。</w:t>
      </w:r>
    </w:p>
    <w:p>
      <w:pPr>
        <w:pStyle w:val="43"/>
      </w:pPr>
      <w:r>
        <w:rPr>
          <w:rFonts w:hint="eastAsia"/>
        </w:rPr>
        <w:t>尺寸</w:t>
      </w:r>
    </w:p>
    <w:p>
      <w:pPr>
        <w:pStyle w:val="25"/>
      </w:pPr>
      <w:r>
        <w:rPr>
          <w:rFonts w:hint="eastAsia"/>
        </w:rPr>
        <w:t>读写器的尺寸应小于10厘米×10厘米，能够嵌入到移动设备上，方便携带。</w:t>
      </w:r>
    </w:p>
    <w:p>
      <w:pPr>
        <w:pStyle w:val="43"/>
      </w:pPr>
      <w:r>
        <w:rPr>
          <w:rFonts w:hint="eastAsia"/>
        </w:rPr>
        <w:t>国际标准</w:t>
      </w:r>
    </w:p>
    <w:p>
      <w:pPr>
        <w:pStyle w:val="25"/>
      </w:pPr>
      <w:r>
        <w:rPr>
          <w:rFonts w:hint="eastAsia"/>
        </w:rPr>
        <w:t>读写器应符合ISO 14443A、ISO 14443B、ISO 15693国际标准。</w:t>
      </w:r>
    </w:p>
    <w:p>
      <w:pPr>
        <w:pStyle w:val="43"/>
      </w:pPr>
      <w:r>
        <w:rPr>
          <w:rFonts w:hint="eastAsia"/>
        </w:rPr>
        <w:t>支持卡片</w:t>
      </w:r>
    </w:p>
    <w:p>
      <w:pPr>
        <w:pStyle w:val="25"/>
      </w:pPr>
      <w:r>
        <w:rPr>
          <w:rFonts w:hint="eastAsia"/>
        </w:rPr>
        <w:t>读写器应能够读写IC、ID等通用卡。</w:t>
      </w:r>
    </w:p>
    <w:p>
      <w:pPr>
        <w:pStyle w:val="43"/>
      </w:pPr>
      <w:r>
        <w:rPr>
          <w:rFonts w:hint="eastAsia"/>
        </w:rPr>
        <w:t>工作频率</w:t>
      </w:r>
    </w:p>
    <w:p>
      <w:pPr>
        <w:pStyle w:val="25"/>
      </w:pPr>
      <w:r>
        <w:rPr>
          <w:rFonts w:hint="eastAsia"/>
        </w:rPr>
        <w:t>读写器应能够在13.56MHz±</w:t>
      </w:r>
      <w:r>
        <w:t>7kHz</w:t>
      </w:r>
      <w:r>
        <w:rPr>
          <w:rFonts w:hint="eastAsia"/>
        </w:rPr>
        <w:t xml:space="preserve">频率工作。 </w:t>
      </w:r>
    </w:p>
    <w:p>
      <w:pPr>
        <w:pStyle w:val="43"/>
      </w:pPr>
      <w:r>
        <w:rPr>
          <w:rFonts w:hint="eastAsia"/>
        </w:rPr>
        <w:t>波特率</w:t>
      </w:r>
    </w:p>
    <w:p>
      <w:pPr>
        <w:pStyle w:val="25"/>
      </w:pPr>
      <w:r>
        <w:rPr>
          <w:rFonts w:hint="eastAsia"/>
        </w:rPr>
        <w:t>读写器的波特率应该为9600波特。</w:t>
      </w:r>
    </w:p>
    <w:p>
      <w:pPr>
        <w:pStyle w:val="43"/>
      </w:pPr>
      <w:r>
        <w:rPr>
          <w:rFonts w:hint="eastAsia"/>
        </w:rPr>
        <w:t>供电电源</w:t>
      </w:r>
    </w:p>
    <w:p>
      <w:pPr>
        <w:pStyle w:val="25"/>
      </w:pPr>
      <w:r>
        <w:rPr>
          <w:rFonts w:hint="eastAsia"/>
        </w:rPr>
        <w:t>电源为DC 5V/ 500mA。</w:t>
      </w:r>
    </w:p>
    <w:p>
      <w:pPr>
        <w:pStyle w:val="43"/>
      </w:pPr>
      <w:r>
        <w:rPr>
          <w:rFonts w:hint="eastAsia"/>
        </w:rPr>
        <w:t>消耗电流</w:t>
      </w:r>
    </w:p>
    <w:p>
      <w:pPr>
        <w:pStyle w:val="25"/>
      </w:pPr>
      <w:r>
        <w:rPr>
          <w:rFonts w:hint="eastAsia"/>
        </w:rPr>
        <w:t>应满足低功耗，小于35mA。</w:t>
      </w:r>
    </w:p>
    <w:p>
      <w:pPr>
        <w:pStyle w:val="43"/>
      </w:pPr>
      <w:r>
        <w:rPr>
          <w:rFonts w:hint="eastAsia"/>
        </w:rPr>
        <w:t>状态指示</w:t>
      </w:r>
    </w:p>
    <w:p>
      <w:pPr>
        <w:pStyle w:val="25"/>
      </w:pPr>
      <w:r>
        <w:rPr>
          <w:rFonts w:hint="eastAsia"/>
        </w:rPr>
        <w:t>应有状态指示，绿灯为运行状态。</w:t>
      </w:r>
    </w:p>
    <w:p>
      <w:pPr>
        <w:pStyle w:val="43"/>
      </w:pPr>
      <w:r>
        <w:rPr>
          <w:rFonts w:hint="eastAsia"/>
        </w:rPr>
        <w:t>工作温度</w:t>
      </w:r>
    </w:p>
    <w:p>
      <w:pPr>
        <w:pStyle w:val="25"/>
      </w:pPr>
      <w:r>
        <w:rPr>
          <w:rFonts w:hint="eastAsia"/>
        </w:rPr>
        <w:t>电子标签阅读器应该满足不同环境下的正常工作，工作温度应满足-20摄氏度到70摄氏度。</w:t>
      </w:r>
    </w:p>
    <w:p>
      <w:pPr>
        <w:pStyle w:val="43"/>
      </w:pPr>
      <w:r>
        <w:rPr>
          <w:rFonts w:hint="eastAsia"/>
        </w:rPr>
        <w:t>存储温度</w:t>
      </w:r>
    </w:p>
    <w:p>
      <w:pPr>
        <w:pStyle w:val="25"/>
      </w:pPr>
      <w:r>
        <w:rPr>
          <w:rFonts w:hint="eastAsia"/>
        </w:rPr>
        <w:t>电子标签阅读器应该满足不同环境下的存储，存储温度应该满足-30摄氏度到80摄氏度。</w:t>
      </w:r>
    </w:p>
    <w:p>
      <w:pPr>
        <w:pStyle w:val="43"/>
      </w:pPr>
      <w:r>
        <w:rPr>
          <w:rFonts w:hint="eastAsia"/>
        </w:rPr>
        <w:t>阅读速度</w:t>
      </w:r>
    </w:p>
    <w:p>
      <w:pPr>
        <w:pStyle w:val="25"/>
      </w:pPr>
      <w:r>
        <w:rPr>
          <w:rFonts w:hint="eastAsia"/>
        </w:rPr>
        <w:t>阅读速度应小于0.6秒。</w:t>
      </w:r>
    </w:p>
    <w:p>
      <w:pPr>
        <w:pStyle w:val="43"/>
      </w:pPr>
      <w:r>
        <w:rPr>
          <w:rFonts w:hint="eastAsia"/>
        </w:rPr>
        <w:t>二次开发</w:t>
      </w:r>
    </w:p>
    <w:p>
      <w:pPr>
        <w:pStyle w:val="25"/>
      </w:pPr>
      <w:r>
        <w:rPr>
          <w:rFonts w:hint="eastAsia"/>
        </w:rPr>
        <w:t>支持二次开发，支持C++、Java、C#等开发语言。</w:t>
      </w:r>
    </w:p>
    <w:p>
      <w:pPr>
        <w:pStyle w:val="72"/>
      </w:pPr>
      <w:bookmarkStart w:id="21" w:name="BKCKWX"/>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21"/>
    </w:p>
    <w:p>
      <w:pPr>
        <w:pStyle w:val="25"/>
      </w:pPr>
      <w:r>
        <w:rPr>
          <w:rFonts w:hint="eastAsia"/>
        </w:rPr>
        <w:t>[1] GH/T 1086-2013  农资商品电子代码编码规则</w:t>
      </w:r>
    </w:p>
    <w:p>
      <w:pPr>
        <w:pStyle w:val="25"/>
      </w:pPr>
      <w:r>
        <w:rPr>
          <w:rFonts w:hint="eastAsia"/>
        </w:rPr>
        <w:t>[2] NY/T 2138-2012  农产品全息市场信息采集规范</w:t>
      </w:r>
    </w:p>
    <w:p>
      <w:pPr>
        <w:pStyle w:val="25"/>
      </w:pPr>
      <w:r>
        <w:rPr>
          <w:rFonts w:hint="eastAsia"/>
        </w:rPr>
        <w:t>[3] SB/T 10771-2012 基于射频识别的瓶装酒追溯与防伪应用数据编码</w:t>
      </w:r>
    </w:p>
    <w:p>
      <w:pPr>
        <w:pStyle w:val="25"/>
      </w:pPr>
      <w:r>
        <w:rPr>
          <w:rFonts w:hint="eastAsia"/>
        </w:rPr>
        <w:t>[4] SN/T 4528—2016 供港食品全程RFID溯源信息规范</w:t>
      </w:r>
    </w:p>
    <w:p>
      <w:pPr>
        <w:pStyle w:val="25"/>
      </w:pPr>
    </w:p>
    <w:p>
      <w:pPr>
        <w:pStyle w:val="130"/>
        <w:framePr/>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fldChar w:fldCharType="begin"/>
    </w:r>
    <w:r>
      <w:instrText xml:space="preserve"> PAGE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rPr>
        <w:rFonts w:hint="eastAsia"/>
      </w:rPr>
      <w:t>GH</w:t>
    </w:r>
    <w:r>
      <w:t>/T XXXXX—</w:t>
    </w:r>
    <w:r>
      <w:rPr>
        <w:rFonts w:hint="eastAsia"/>
      </w:rPr>
      <w:t>20</w:t>
    </w:r>
    <w: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5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7"/>
      <w:suff w:val="nothing"/>
      <w:lvlText w:val="%1.%2.%3　"/>
      <w:lvlJc w:val="left"/>
      <w:pPr>
        <w:ind w:left="142" w:firstLine="0"/>
      </w:pPr>
      <w:rPr>
        <w:rFonts w:hint="eastAsia" w:ascii="黑体" w:hAnsi="Times New Roman" w:eastAsia="黑体"/>
        <w:b w:val="0"/>
        <w:i w:val="0"/>
        <w:sz w:val="21"/>
      </w:rPr>
    </w:lvl>
    <w:lvl w:ilvl="3" w:tentative="0">
      <w:start w:val="1"/>
      <w:numFmt w:val="decimal"/>
      <w:pStyle w:val="52"/>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pStyle w:val="6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1DC"/>
    <w:rsid w:val="00000244"/>
    <w:rsid w:val="0000185F"/>
    <w:rsid w:val="0000586F"/>
    <w:rsid w:val="00013D86"/>
    <w:rsid w:val="00013E02"/>
    <w:rsid w:val="00020765"/>
    <w:rsid w:val="0002143C"/>
    <w:rsid w:val="00025A65"/>
    <w:rsid w:val="00026C31"/>
    <w:rsid w:val="00027280"/>
    <w:rsid w:val="000320A7"/>
    <w:rsid w:val="00035925"/>
    <w:rsid w:val="00043C4B"/>
    <w:rsid w:val="00060B0C"/>
    <w:rsid w:val="00064258"/>
    <w:rsid w:val="00067CDF"/>
    <w:rsid w:val="00074FBE"/>
    <w:rsid w:val="00075940"/>
    <w:rsid w:val="000812CA"/>
    <w:rsid w:val="00083A09"/>
    <w:rsid w:val="0008480D"/>
    <w:rsid w:val="0009005E"/>
    <w:rsid w:val="00092857"/>
    <w:rsid w:val="000A20A9"/>
    <w:rsid w:val="000A48B1"/>
    <w:rsid w:val="000A576E"/>
    <w:rsid w:val="000B3143"/>
    <w:rsid w:val="000C4167"/>
    <w:rsid w:val="000C6B05"/>
    <w:rsid w:val="000C6DD6"/>
    <w:rsid w:val="000C73D4"/>
    <w:rsid w:val="000D3D4C"/>
    <w:rsid w:val="000D4F51"/>
    <w:rsid w:val="000D718B"/>
    <w:rsid w:val="000E0C46"/>
    <w:rsid w:val="000F030C"/>
    <w:rsid w:val="000F129C"/>
    <w:rsid w:val="000F3CA0"/>
    <w:rsid w:val="000F483C"/>
    <w:rsid w:val="001056DE"/>
    <w:rsid w:val="001124C0"/>
    <w:rsid w:val="00116BA1"/>
    <w:rsid w:val="0011736B"/>
    <w:rsid w:val="00125B37"/>
    <w:rsid w:val="0013175F"/>
    <w:rsid w:val="00132767"/>
    <w:rsid w:val="00140436"/>
    <w:rsid w:val="001512B4"/>
    <w:rsid w:val="001620A5"/>
    <w:rsid w:val="00164C34"/>
    <w:rsid w:val="00164E53"/>
    <w:rsid w:val="00165498"/>
    <w:rsid w:val="0016699D"/>
    <w:rsid w:val="00175159"/>
    <w:rsid w:val="00176208"/>
    <w:rsid w:val="0018211B"/>
    <w:rsid w:val="001840D3"/>
    <w:rsid w:val="001900F8"/>
    <w:rsid w:val="00191258"/>
    <w:rsid w:val="001920FC"/>
    <w:rsid w:val="00192680"/>
    <w:rsid w:val="00193037"/>
    <w:rsid w:val="00193847"/>
    <w:rsid w:val="00193A2C"/>
    <w:rsid w:val="001A22EF"/>
    <w:rsid w:val="001A288E"/>
    <w:rsid w:val="001A64B7"/>
    <w:rsid w:val="001B218F"/>
    <w:rsid w:val="001B6DC2"/>
    <w:rsid w:val="001C149C"/>
    <w:rsid w:val="001C1A6E"/>
    <w:rsid w:val="001C21AC"/>
    <w:rsid w:val="001C47BA"/>
    <w:rsid w:val="001C59EA"/>
    <w:rsid w:val="001D3A17"/>
    <w:rsid w:val="001D406C"/>
    <w:rsid w:val="001D41EE"/>
    <w:rsid w:val="001D646D"/>
    <w:rsid w:val="001E0380"/>
    <w:rsid w:val="001E13B1"/>
    <w:rsid w:val="001F3A19"/>
    <w:rsid w:val="001F77C9"/>
    <w:rsid w:val="00204BB4"/>
    <w:rsid w:val="00206768"/>
    <w:rsid w:val="00234467"/>
    <w:rsid w:val="00237D8D"/>
    <w:rsid w:val="00241DA2"/>
    <w:rsid w:val="00247FEE"/>
    <w:rsid w:val="00250E7D"/>
    <w:rsid w:val="002565D5"/>
    <w:rsid w:val="002622C0"/>
    <w:rsid w:val="00264D4D"/>
    <w:rsid w:val="0026561F"/>
    <w:rsid w:val="00270CD9"/>
    <w:rsid w:val="002778AE"/>
    <w:rsid w:val="00281D26"/>
    <w:rsid w:val="0028269A"/>
    <w:rsid w:val="00283590"/>
    <w:rsid w:val="00286973"/>
    <w:rsid w:val="00294E70"/>
    <w:rsid w:val="00297D15"/>
    <w:rsid w:val="002A1924"/>
    <w:rsid w:val="002A38F9"/>
    <w:rsid w:val="002A7420"/>
    <w:rsid w:val="002B0F12"/>
    <w:rsid w:val="002B1308"/>
    <w:rsid w:val="002B4062"/>
    <w:rsid w:val="002B4554"/>
    <w:rsid w:val="002C71F2"/>
    <w:rsid w:val="002C72D8"/>
    <w:rsid w:val="002D11FA"/>
    <w:rsid w:val="002E0DDF"/>
    <w:rsid w:val="002E2906"/>
    <w:rsid w:val="002E3468"/>
    <w:rsid w:val="002E5635"/>
    <w:rsid w:val="002E64C3"/>
    <w:rsid w:val="002E6A2C"/>
    <w:rsid w:val="002E76BA"/>
    <w:rsid w:val="002F1D8C"/>
    <w:rsid w:val="002F21DA"/>
    <w:rsid w:val="002F6678"/>
    <w:rsid w:val="00301F39"/>
    <w:rsid w:val="00305136"/>
    <w:rsid w:val="0031454B"/>
    <w:rsid w:val="003207FD"/>
    <w:rsid w:val="00325926"/>
    <w:rsid w:val="00327A8A"/>
    <w:rsid w:val="00332C85"/>
    <w:rsid w:val="00334192"/>
    <w:rsid w:val="00336610"/>
    <w:rsid w:val="00336E31"/>
    <w:rsid w:val="00343F73"/>
    <w:rsid w:val="00344D59"/>
    <w:rsid w:val="00345060"/>
    <w:rsid w:val="0035323B"/>
    <w:rsid w:val="0035613D"/>
    <w:rsid w:val="00360754"/>
    <w:rsid w:val="003609D2"/>
    <w:rsid w:val="00363F22"/>
    <w:rsid w:val="00373D76"/>
    <w:rsid w:val="00375564"/>
    <w:rsid w:val="0038201E"/>
    <w:rsid w:val="00383191"/>
    <w:rsid w:val="00383D4A"/>
    <w:rsid w:val="00386DED"/>
    <w:rsid w:val="003912E7"/>
    <w:rsid w:val="00393947"/>
    <w:rsid w:val="00393C8E"/>
    <w:rsid w:val="003A0289"/>
    <w:rsid w:val="003A2275"/>
    <w:rsid w:val="003A6A4F"/>
    <w:rsid w:val="003A7088"/>
    <w:rsid w:val="003B00DF"/>
    <w:rsid w:val="003B1275"/>
    <w:rsid w:val="003B1778"/>
    <w:rsid w:val="003B1C9B"/>
    <w:rsid w:val="003B2A75"/>
    <w:rsid w:val="003C11CB"/>
    <w:rsid w:val="003C75F3"/>
    <w:rsid w:val="003C78A3"/>
    <w:rsid w:val="003E1867"/>
    <w:rsid w:val="003E5729"/>
    <w:rsid w:val="003F4EE0"/>
    <w:rsid w:val="00402153"/>
    <w:rsid w:val="00402FC1"/>
    <w:rsid w:val="00405DDF"/>
    <w:rsid w:val="00417FCB"/>
    <w:rsid w:val="00425082"/>
    <w:rsid w:val="00431DEB"/>
    <w:rsid w:val="00436A27"/>
    <w:rsid w:val="00446B29"/>
    <w:rsid w:val="00453F9A"/>
    <w:rsid w:val="00471E91"/>
    <w:rsid w:val="00472453"/>
    <w:rsid w:val="00474675"/>
    <w:rsid w:val="0047470C"/>
    <w:rsid w:val="00483272"/>
    <w:rsid w:val="004A35F9"/>
    <w:rsid w:val="004B24C1"/>
    <w:rsid w:val="004C0939"/>
    <w:rsid w:val="004C292F"/>
    <w:rsid w:val="004D7A72"/>
    <w:rsid w:val="004E5CF5"/>
    <w:rsid w:val="00503578"/>
    <w:rsid w:val="00507765"/>
    <w:rsid w:val="00510280"/>
    <w:rsid w:val="00513D73"/>
    <w:rsid w:val="00514A43"/>
    <w:rsid w:val="005174E5"/>
    <w:rsid w:val="00522393"/>
    <w:rsid w:val="00522620"/>
    <w:rsid w:val="00522C8C"/>
    <w:rsid w:val="00525656"/>
    <w:rsid w:val="00534C02"/>
    <w:rsid w:val="005371DC"/>
    <w:rsid w:val="0054264B"/>
    <w:rsid w:val="00543786"/>
    <w:rsid w:val="005533D7"/>
    <w:rsid w:val="00564789"/>
    <w:rsid w:val="005703DE"/>
    <w:rsid w:val="00573F49"/>
    <w:rsid w:val="00575C21"/>
    <w:rsid w:val="0058464E"/>
    <w:rsid w:val="005A01CB"/>
    <w:rsid w:val="005A58FF"/>
    <w:rsid w:val="005A5903"/>
    <w:rsid w:val="005A5EAF"/>
    <w:rsid w:val="005A64C0"/>
    <w:rsid w:val="005B3C11"/>
    <w:rsid w:val="005C1C28"/>
    <w:rsid w:val="005C6DB5"/>
    <w:rsid w:val="005D156D"/>
    <w:rsid w:val="005D6072"/>
    <w:rsid w:val="005E19E7"/>
    <w:rsid w:val="00601E8C"/>
    <w:rsid w:val="0061716C"/>
    <w:rsid w:val="006225E3"/>
    <w:rsid w:val="00623561"/>
    <w:rsid w:val="006243A1"/>
    <w:rsid w:val="00632E56"/>
    <w:rsid w:val="00633F08"/>
    <w:rsid w:val="00635CBA"/>
    <w:rsid w:val="006404A8"/>
    <w:rsid w:val="0064338B"/>
    <w:rsid w:val="00646542"/>
    <w:rsid w:val="006504F4"/>
    <w:rsid w:val="00654BC9"/>
    <w:rsid w:val="006552FD"/>
    <w:rsid w:val="00660A4E"/>
    <w:rsid w:val="00663AF3"/>
    <w:rsid w:val="00666B6C"/>
    <w:rsid w:val="00682682"/>
    <w:rsid w:val="00682702"/>
    <w:rsid w:val="00692368"/>
    <w:rsid w:val="00697D56"/>
    <w:rsid w:val="006A2EBC"/>
    <w:rsid w:val="006A51EF"/>
    <w:rsid w:val="006A5EA0"/>
    <w:rsid w:val="006A783B"/>
    <w:rsid w:val="006A7B33"/>
    <w:rsid w:val="006B4946"/>
    <w:rsid w:val="006B4E13"/>
    <w:rsid w:val="006B75DD"/>
    <w:rsid w:val="006C67E0"/>
    <w:rsid w:val="006C7ABA"/>
    <w:rsid w:val="006D0D60"/>
    <w:rsid w:val="006D1122"/>
    <w:rsid w:val="006D3C00"/>
    <w:rsid w:val="006E3675"/>
    <w:rsid w:val="006E4A10"/>
    <w:rsid w:val="006E4A7F"/>
    <w:rsid w:val="006E7196"/>
    <w:rsid w:val="00704DF6"/>
    <w:rsid w:val="007060D3"/>
    <w:rsid w:val="0070651C"/>
    <w:rsid w:val="007132A3"/>
    <w:rsid w:val="00715759"/>
    <w:rsid w:val="00716421"/>
    <w:rsid w:val="00717382"/>
    <w:rsid w:val="007248EB"/>
    <w:rsid w:val="00724EFB"/>
    <w:rsid w:val="007419C3"/>
    <w:rsid w:val="00743E63"/>
    <w:rsid w:val="007467A7"/>
    <w:rsid w:val="007469DD"/>
    <w:rsid w:val="0074741B"/>
    <w:rsid w:val="0074759E"/>
    <w:rsid w:val="007478EA"/>
    <w:rsid w:val="0075415C"/>
    <w:rsid w:val="007570A9"/>
    <w:rsid w:val="00763502"/>
    <w:rsid w:val="00764B06"/>
    <w:rsid w:val="007728D0"/>
    <w:rsid w:val="00774CAE"/>
    <w:rsid w:val="007913AB"/>
    <w:rsid w:val="007914F7"/>
    <w:rsid w:val="007B1625"/>
    <w:rsid w:val="007B27A5"/>
    <w:rsid w:val="007B706E"/>
    <w:rsid w:val="007B71EB"/>
    <w:rsid w:val="007C6205"/>
    <w:rsid w:val="007C686A"/>
    <w:rsid w:val="007C728E"/>
    <w:rsid w:val="007D1AE0"/>
    <w:rsid w:val="007D2C53"/>
    <w:rsid w:val="007D3D60"/>
    <w:rsid w:val="007E1980"/>
    <w:rsid w:val="007E4B76"/>
    <w:rsid w:val="007E5EA8"/>
    <w:rsid w:val="007F0CF1"/>
    <w:rsid w:val="007F12A5"/>
    <w:rsid w:val="007F4CF1"/>
    <w:rsid w:val="007F758D"/>
    <w:rsid w:val="007F7D52"/>
    <w:rsid w:val="008007B7"/>
    <w:rsid w:val="00802B31"/>
    <w:rsid w:val="0080654C"/>
    <w:rsid w:val="008071C6"/>
    <w:rsid w:val="008123BC"/>
    <w:rsid w:val="00814720"/>
    <w:rsid w:val="00817A00"/>
    <w:rsid w:val="00832CB9"/>
    <w:rsid w:val="00835DB3"/>
    <w:rsid w:val="0083617B"/>
    <w:rsid w:val="008371BD"/>
    <w:rsid w:val="00843E46"/>
    <w:rsid w:val="00845733"/>
    <w:rsid w:val="008504A8"/>
    <w:rsid w:val="0085282E"/>
    <w:rsid w:val="00862B92"/>
    <w:rsid w:val="0087198C"/>
    <w:rsid w:val="00872C1F"/>
    <w:rsid w:val="00872DC2"/>
    <w:rsid w:val="00873B42"/>
    <w:rsid w:val="00882C36"/>
    <w:rsid w:val="008856D8"/>
    <w:rsid w:val="00892E82"/>
    <w:rsid w:val="008970DA"/>
    <w:rsid w:val="008A7D1C"/>
    <w:rsid w:val="008B3308"/>
    <w:rsid w:val="008C1B58"/>
    <w:rsid w:val="008C39AE"/>
    <w:rsid w:val="008C590D"/>
    <w:rsid w:val="008C64B2"/>
    <w:rsid w:val="008D3263"/>
    <w:rsid w:val="008E031B"/>
    <w:rsid w:val="008E35F1"/>
    <w:rsid w:val="008E6B9D"/>
    <w:rsid w:val="008E7029"/>
    <w:rsid w:val="008E7EF6"/>
    <w:rsid w:val="008F1F98"/>
    <w:rsid w:val="008F6758"/>
    <w:rsid w:val="008F7B8E"/>
    <w:rsid w:val="0090085F"/>
    <w:rsid w:val="009040DD"/>
    <w:rsid w:val="00905887"/>
    <w:rsid w:val="00905B47"/>
    <w:rsid w:val="0091331C"/>
    <w:rsid w:val="009279DE"/>
    <w:rsid w:val="00930116"/>
    <w:rsid w:val="00932094"/>
    <w:rsid w:val="0093628A"/>
    <w:rsid w:val="0094212C"/>
    <w:rsid w:val="00944406"/>
    <w:rsid w:val="00954689"/>
    <w:rsid w:val="009617C9"/>
    <w:rsid w:val="00961C93"/>
    <w:rsid w:val="0096266C"/>
    <w:rsid w:val="00965324"/>
    <w:rsid w:val="0097091E"/>
    <w:rsid w:val="009760D3"/>
    <w:rsid w:val="00977132"/>
    <w:rsid w:val="00980365"/>
    <w:rsid w:val="00981A4B"/>
    <w:rsid w:val="00982501"/>
    <w:rsid w:val="009841A1"/>
    <w:rsid w:val="009877D3"/>
    <w:rsid w:val="0099477B"/>
    <w:rsid w:val="00994E8F"/>
    <w:rsid w:val="009951DC"/>
    <w:rsid w:val="009959BB"/>
    <w:rsid w:val="00997158"/>
    <w:rsid w:val="009A3A7C"/>
    <w:rsid w:val="009B2ADB"/>
    <w:rsid w:val="009B603A"/>
    <w:rsid w:val="009C2417"/>
    <w:rsid w:val="009C2D0E"/>
    <w:rsid w:val="009C3026"/>
    <w:rsid w:val="009C3DAC"/>
    <w:rsid w:val="009C3F48"/>
    <w:rsid w:val="009C42E0"/>
    <w:rsid w:val="009C72C4"/>
    <w:rsid w:val="009D5362"/>
    <w:rsid w:val="009D64B4"/>
    <w:rsid w:val="009E1415"/>
    <w:rsid w:val="009E5E08"/>
    <w:rsid w:val="009E6116"/>
    <w:rsid w:val="009F718C"/>
    <w:rsid w:val="00A02E43"/>
    <w:rsid w:val="00A065F9"/>
    <w:rsid w:val="00A07F34"/>
    <w:rsid w:val="00A1595F"/>
    <w:rsid w:val="00A15B1D"/>
    <w:rsid w:val="00A22154"/>
    <w:rsid w:val="00A2468D"/>
    <w:rsid w:val="00A25C38"/>
    <w:rsid w:val="00A36BBE"/>
    <w:rsid w:val="00A4307A"/>
    <w:rsid w:val="00A4396D"/>
    <w:rsid w:val="00A453B5"/>
    <w:rsid w:val="00A47EBB"/>
    <w:rsid w:val="00A51CDD"/>
    <w:rsid w:val="00A52BD0"/>
    <w:rsid w:val="00A64EB4"/>
    <w:rsid w:val="00A65A99"/>
    <w:rsid w:val="00A6730D"/>
    <w:rsid w:val="00A67A08"/>
    <w:rsid w:val="00A67B51"/>
    <w:rsid w:val="00A71625"/>
    <w:rsid w:val="00A71B9B"/>
    <w:rsid w:val="00A751C7"/>
    <w:rsid w:val="00A87844"/>
    <w:rsid w:val="00A9112A"/>
    <w:rsid w:val="00A94470"/>
    <w:rsid w:val="00AA038C"/>
    <w:rsid w:val="00AA5028"/>
    <w:rsid w:val="00AA67C6"/>
    <w:rsid w:val="00AA7A09"/>
    <w:rsid w:val="00AB12B4"/>
    <w:rsid w:val="00AB3B50"/>
    <w:rsid w:val="00AB5E2B"/>
    <w:rsid w:val="00AC05B1"/>
    <w:rsid w:val="00AD1CE4"/>
    <w:rsid w:val="00AD356C"/>
    <w:rsid w:val="00AD45DF"/>
    <w:rsid w:val="00AD5DD5"/>
    <w:rsid w:val="00AE2914"/>
    <w:rsid w:val="00AE4B09"/>
    <w:rsid w:val="00AE6D15"/>
    <w:rsid w:val="00AF288C"/>
    <w:rsid w:val="00AF7E26"/>
    <w:rsid w:val="00B04182"/>
    <w:rsid w:val="00B07AE3"/>
    <w:rsid w:val="00B11430"/>
    <w:rsid w:val="00B14175"/>
    <w:rsid w:val="00B14F19"/>
    <w:rsid w:val="00B353EB"/>
    <w:rsid w:val="00B439C4"/>
    <w:rsid w:val="00B4535E"/>
    <w:rsid w:val="00B52A8C"/>
    <w:rsid w:val="00B636A8"/>
    <w:rsid w:val="00B665C6"/>
    <w:rsid w:val="00B80291"/>
    <w:rsid w:val="00B805AF"/>
    <w:rsid w:val="00B8079D"/>
    <w:rsid w:val="00B84C31"/>
    <w:rsid w:val="00B869EC"/>
    <w:rsid w:val="00B9397A"/>
    <w:rsid w:val="00B93D45"/>
    <w:rsid w:val="00B9633D"/>
    <w:rsid w:val="00BA2EBE"/>
    <w:rsid w:val="00BB0F28"/>
    <w:rsid w:val="00BB458A"/>
    <w:rsid w:val="00BB53F1"/>
    <w:rsid w:val="00BB638F"/>
    <w:rsid w:val="00BC3374"/>
    <w:rsid w:val="00BD00D3"/>
    <w:rsid w:val="00BD11C8"/>
    <w:rsid w:val="00BD1659"/>
    <w:rsid w:val="00BD1E0A"/>
    <w:rsid w:val="00BD3AA9"/>
    <w:rsid w:val="00BD4A18"/>
    <w:rsid w:val="00BD6DB2"/>
    <w:rsid w:val="00BD7000"/>
    <w:rsid w:val="00BE0CDE"/>
    <w:rsid w:val="00BE11CF"/>
    <w:rsid w:val="00BE21AB"/>
    <w:rsid w:val="00BE495E"/>
    <w:rsid w:val="00BE55CB"/>
    <w:rsid w:val="00BF09B7"/>
    <w:rsid w:val="00BF617A"/>
    <w:rsid w:val="00C0379D"/>
    <w:rsid w:val="00C03931"/>
    <w:rsid w:val="00C03E2A"/>
    <w:rsid w:val="00C05FE3"/>
    <w:rsid w:val="00C2136D"/>
    <w:rsid w:val="00C214EE"/>
    <w:rsid w:val="00C2314B"/>
    <w:rsid w:val="00C24971"/>
    <w:rsid w:val="00C26BE5"/>
    <w:rsid w:val="00C26E4D"/>
    <w:rsid w:val="00C27909"/>
    <w:rsid w:val="00C27B03"/>
    <w:rsid w:val="00C314E1"/>
    <w:rsid w:val="00C34397"/>
    <w:rsid w:val="00C359CB"/>
    <w:rsid w:val="00C4095D"/>
    <w:rsid w:val="00C41E96"/>
    <w:rsid w:val="00C446F4"/>
    <w:rsid w:val="00C53ECD"/>
    <w:rsid w:val="00C601D2"/>
    <w:rsid w:val="00C657AB"/>
    <w:rsid w:val="00C65BCC"/>
    <w:rsid w:val="00C66970"/>
    <w:rsid w:val="00C80906"/>
    <w:rsid w:val="00C8691C"/>
    <w:rsid w:val="00C86A12"/>
    <w:rsid w:val="00C969BA"/>
    <w:rsid w:val="00C96D30"/>
    <w:rsid w:val="00CA168A"/>
    <w:rsid w:val="00CA357E"/>
    <w:rsid w:val="00CA44F9"/>
    <w:rsid w:val="00CA4A69"/>
    <w:rsid w:val="00CC3E0C"/>
    <w:rsid w:val="00CC58D3"/>
    <w:rsid w:val="00CC784D"/>
    <w:rsid w:val="00CD7CEC"/>
    <w:rsid w:val="00D0337B"/>
    <w:rsid w:val="00D079B2"/>
    <w:rsid w:val="00D114E9"/>
    <w:rsid w:val="00D1257A"/>
    <w:rsid w:val="00D41232"/>
    <w:rsid w:val="00D429C6"/>
    <w:rsid w:val="00D47748"/>
    <w:rsid w:val="00D54CC3"/>
    <w:rsid w:val="00D554EC"/>
    <w:rsid w:val="00D6041A"/>
    <w:rsid w:val="00D6196D"/>
    <w:rsid w:val="00D633EB"/>
    <w:rsid w:val="00D6349E"/>
    <w:rsid w:val="00D640FF"/>
    <w:rsid w:val="00D7783E"/>
    <w:rsid w:val="00D8066A"/>
    <w:rsid w:val="00D82FF7"/>
    <w:rsid w:val="00D847FE"/>
    <w:rsid w:val="00D93873"/>
    <w:rsid w:val="00D954A1"/>
    <w:rsid w:val="00D964EA"/>
    <w:rsid w:val="00D966D0"/>
    <w:rsid w:val="00DA0C59"/>
    <w:rsid w:val="00DA3991"/>
    <w:rsid w:val="00DB6FB8"/>
    <w:rsid w:val="00DB7E6C"/>
    <w:rsid w:val="00DD3FDE"/>
    <w:rsid w:val="00DD5A29"/>
    <w:rsid w:val="00DD5D9D"/>
    <w:rsid w:val="00DE35CB"/>
    <w:rsid w:val="00DE5EC5"/>
    <w:rsid w:val="00DF21E9"/>
    <w:rsid w:val="00DF79BE"/>
    <w:rsid w:val="00E00965"/>
    <w:rsid w:val="00E00F14"/>
    <w:rsid w:val="00E06386"/>
    <w:rsid w:val="00E24EB4"/>
    <w:rsid w:val="00E320ED"/>
    <w:rsid w:val="00E33AFB"/>
    <w:rsid w:val="00E34218"/>
    <w:rsid w:val="00E36A81"/>
    <w:rsid w:val="00E46282"/>
    <w:rsid w:val="00E5115E"/>
    <w:rsid w:val="00E5216E"/>
    <w:rsid w:val="00E55D0D"/>
    <w:rsid w:val="00E747B0"/>
    <w:rsid w:val="00E81B40"/>
    <w:rsid w:val="00E82344"/>
    <w:rsid w:val="00E84C82"/>
    <w:rsid w:val="00E84D64"/>
    <w:rsid w:val="00E87408"/>
    <w:rsid w:val="00E914C4"/>
    <w:rsid w:val="00E934F5"/>
    <w:rsid w:val="00E93580"/>
    <w:rsid w:val="00E96961"/>
    <w:rsid w:val="00EA7150"/>
    <w:rsid w:val="00EA72EC"/>
    <w:rsid w:val="00EB11CB"/>
    <w:rsid w:val="00EB275A"/>
    <w:rsid w:val="00EB687A"/>
    <w:rsid w:val="00EB786A"/>
    <w:rsid w:val="00EC0CC1"/>
    <w:rsid w:val="00EC1578"/>
    <w:rsid w:val="00EC1C72"/>
    <w:rsid w:val="00EC3CC9"/>
    <w:rsid w:val="00EC5D71"/>
    <w:rsid w:val="00EC680A"/>
    <w:rsid w:val="00ED0140"/>
    <w:rsid w:val="00ED54D8"/>
    <w:rsid w:val="00EE2BDD"/>
    <w:rsid w:val="00EE2BED"/>
    <w:rsid w:val="00EE374B"/>
    <w:rsid w:val="00EF7382"/>
    <w:rsid w:val="00F073AD"/>
    <w:rsid w:val="00F07866"/>
    <w:rsid w:val="00F11BB5"/>
    <w:rsid w:val="00F1417B"/>
    <w:rsid w:val="00F34B99"/>
    <w:rsid w:val="00F45564"/>
    <w:rsid w:val="00F52DAB"/>
    <w:rsid w:val="00F543F0"/>
    <w:rsid w:val="00F55827"/>
    <w:rsid w:val="00F60D41"/>
    <w:rsid w:val="00F6211C"/>
    <w:rsid w:val="00F771CF"/>
    <w:rsid w:val="00F81D29"/>
    <w:rsid w:val="00F8732B"/>
    <w:rsid w:val="00F879BF"/>
    <w:rsid w:val="00F91C4D"/>
    <w:rsid w:val="00F92FD9"/>
    <w:rsid w:val="00FA4D67"/>
    <w:rsid w:val="00FA6684"/>
    <w:rsid w:val="00FA731E"/>
    <w:rsid w:val="00FB2B38"/>
    <w:rsid w:val="00FC12BA"/>
    <w:rsid w:val="00FC6358"/>
    <w:rsid w:val="00FC6747"/>
    <w:rsid w:val="00FD320D"/>
    <w:rsid w:val="00FE23DE"/>
    <w:rsid w:val="00FE3ECE"/>
    <w:rsid w:val="00FE552A"/>
    <w:rsid w:val="77801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unhideWhenUsed/>
    <w:uiPriority w:val="1"/>
  </w:style>
  <w:style w:type="table" w:default="1" w:styleId="4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1"/>
    <w:uiPriority w:val="0"/>
    <w:rPr>
      <w:b/>
      <w:bCs/>
    </w:rPr>
  </w:style>
  <w:style w:type="paragraph" w:styleId="3">
    <w:name w:val="annotation text"/>
    <w:basedOn w:val="1"/>
    <w:link w:val="140"/>
    <w:uiPriority w:val="0"/>
    <w:pPr>
      <w:jc w:val="left"/>
    </w:pPr>
  </w:style>
  <w:style w:type="paragraph" w:styleId="4">
    <w:name w:val="toc 7"/>
    <w:basedOn w:val="1"/>
    <w:next w:val="1"/>
    <w:semiHidden/>
    <w:qFormat/>
    <w:uiPriority w:val="0"/>
    <w:pPr>
      <w:tabs>
        <w:tab w:val="right" w:leader="dot" w:pos="9241"/>
      </w:tabs>
      <w:ind w:firstLine="500"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link w:val="138"/>
    <w:qFormat/>
    <w:uiPriority w:val="0"/>
    <w:pPr>
      <w:spacing w:line="360" w:lineRule="auto"/>
      <w:jc w:val="left"/>
    </w:pPr>
    <w:rPr>
      <w:color w:val="000000"/>
      <w:sz w:val="24"/>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semiHidden/>
    <w:uiPriority w:val="0"/>
    <w:pPr>
      <w:tabs>
        <w:tab w:val="right" w:leader="dot" w:pos="9241"/>
      </w:tabs>
      <w:ind w:firstLine="100" w:firstLineChars="100"/>
      <w:jc w:val="left"/>
    </w:pPr>
    <w:rPr>
      <w:rFonts w:ascii="宋体"/>
      <w:szCs w:val="21"/>
    </w:rPr>
  </w:style>
  <w:style w:type="paragraph" w:styleId="14">
    <w:name w:val="toc 8"/>
    <w:basedOn w:val="1"/>
    <w:next w:val="1"/>
    <w:semiHidden/>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139"/>
    <w:uiPriority w:val="0"/>
    <w:pPr>
      <w:ind w:left="100" w:leftChars="2500"/>
    </w:pPr>
  </w:style>
  <w:style w:type="paragraph" w:styleId="17">
    <w:name w:val="endnote text"/>
    <w:basedOn w:val="1"/>
    <w:semiHidden/>
    <w:qFormat/>
    <w:uiPriority w:val="0"/>
    <w:pPr>
      <w:snapToGrid w:val="0"/>
      <w:jc w:val="left"/>
    </w:pPr>
  </w:style>
  <w:style w:type="paragraph" w:styleId="18">
    <w:name w:val="Balloon Text"/>
    <w:basedOn w:val="1"/>
    <w:link w:val="142"/>
    <w:qFormat/>
    <w:uiPriority w:val="0"/>
    <w:rPr>
      <w:sz w:val="18"/>
      <w:szCs w:val="18"/>
    </w:rPr>
  </w:style>
  <w:style w:type="paragraph" w:styleId="19">
    <w:name w:val="footer"/>
    <w:basedOn w:val="1"/>
    <w:uiPriority w:val="0"/>
    <w:pPr>
      <w:snapToGrid w:val="0"/>
      <w:ind w:right="210" w:rightChars="100"/>
      <w:jc w:val="right"/>
    </w:pPr>
    <w:rPr>
      <w:sz w:val="18"/>
      <w:szCs w:val="18"/>
    </w:rPr>
  </w:style>
  <w:style w:type="paragraph" w:styleId="20">
    <w:name w:val="header"/>
    <w:basedOn w:val="1"/>
    <w:uiPriority w:val="0"/>
    <w:pPr>
      <w:snapToGrid w:val="0"/>
      <w:jc w:val="left"/>
    </w:pPr>
    <w:rPr>
      <w:sz w:val="18"/>
      <w:szCs w:val="18"/>
    </w:rPr>
  </w:style>
  <w:style w:type="paragraph" w:styleId="21">
    <w:name w:val="toc 1"/>
    <w:basedOn w:val="1"/>
    <w:next w:val="1"/>
    <w:semiHidden/>
    <w:uiPriority w:val="0"/>
    <w:pPr>
      <w:tabs>
        <w:tab w:val="right" w:leader="dot" w:pos="9242"/>
      </w:tabs>
      <w:spacing w:before="25" w:beforeLines="25" w:after="25" w:afterLines="25"/>
      <w:jc w:val="left"/>
    </w:pPr>
    <w:rPr>
      <w:rFonts w:ascii="宋体"/>
      <w:szCs w:val="21"/>
    </w:rPr>
  </w:style>
  <w:style w:type="paragraph" w:styleId="22">
    <w:name w:val="toc 4"/>
    <w:basedOn w:val="1"/>
    <w:next w:val="1"/>
    <w:semiHidden/>
    <w:uiPriority w:val="0"/>
    <w:pPr>
      <w:tabs>
        <w:tab w:val="right" w:leader="dot" w:pos="9241"/>
      </w:tabs>
      <w:ind w:firstLine="200" w:firstLineChars="200"/>
      <w:jc w:val="left"/>
    </w:pPr>
    <w:rPr>
      <w:rFonts w:ascii="宋体"/>
      <w:szCs w:val="21"/>
    </w:rPr>
  </w:style>
  <w:style w:type="paragraph" w:styleId="23">
    <w:name w:val="index heading"/>
    <w:basedOn w:val="1"/>
    <w:next w:val="24"/>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2"/>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0"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uiPriority w:val="0"/>
    <w:pPr>
      <w:ind w:left="1890" w:hanging="210"/>
      <w:jc w:val="left"/>
    </w:pPr>
    <w:rPr>
      <w:rFonts w:ascii="Calibri" w:hAnsi="Calibri"/>
      <w:sz w:val="20"/>
      <w:szCs w:val="20"/>
    </w:rPr>
  </w:style>
  <w:style w:type="paragraph" w:styleId="30">
    <w:name w:val="toc 2"/>
    <w:basedOn w:val="1"/>
    <w:next w:val="1"/>
    <w:semiHidden/>
    <w:uiPriority w:val="0"/>
    <w:pPr>
      <w:tabs>
        <w:tab w:val="right" w:leader="dot" w:pos="9242"/>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index 2"/>
    <w:basedOn w:val="1"/>
    <w:next w:val="1"/>
    <w:uiPriority w:val="0"/>
    <w:pPr>
      <w:ind w:left="420" w:hanging="210"/>
      <w:jc w:val="left"/>
    </w:pPr>
    <w:rPr>
      <w:rFonts w:ascii="Calibri" w:hAnsi="Calibri"/>
      <w:sz w:val="20"/>
      <w:szCs w:val="20"/>
    </w:rPr>
  </w:style>
  <w:style w:type="character" w:styleId="34">
    <w:name w:val="endnote reference"/>
    <w:semiHidden/>
    <w:qFormat/>
    <w:uiPriority w:val="0"/>
    <w:rPr>
      <w:vertAlign w:val="superscript"/>
    </w:rPr>
  </w:style>
  <w:style w:type="character" w:styleId="35">
    <w:name w:val="page number"/>
    <w:uiPriority w:val="0"/>
    <w:rPr>
      <w:rFonts w:ascii="Times New Roman" w:hAnsi="Times New Roman" w:eastAsia="宋体"/>
      <w:sz w:val="18"/>
    </w:rPr>
  </w:style>
  <w:style w:type="character" w:styleId="36">
    <w:name w:val="FollowedHyperlink"/>
    <w:qFormat/>
    <w:uiPriority w:val="0"/>
    <w:rPr>
      <w:color w:val="800080"/>
      <w:u w:val="single"/>
    </w:rPr>
  </w:style>
  <w:style w:type="character" w:styleId="37">
    <w:name w:val="Hyperlink"/>
    <w:uiPriority w:val="0"/>
    <w:rPr>
      <w:color w:val="0000FF"/>
      <w:spacing w:val="0"/>
      <w:w w:val="100"/>
      <w:szCs w:val="21"/>
      <w:u w:val="single"/>
    </w:rPr>
  </w:style>
  <w:style w:type="character" w:styleId="38">
    <w:name w:val="annotation reference"/>
    <w:uiPriority w:val="0"/>
    <w:rPr>
      <w:sz w:val="21"/>
      <w:szCs w:val="21"/>
    </w:rPr>
  </w:style>
  <w:style w:type="character" w:styleId="39">
    <w:name w:val="footnote reference"/>
    <w:semiHidden/>
    <w:qFormat/>
    <w:uiPriority w:val="0"/>
    <w:rPr>
      <w:vertAlign w:val="superscript"/>
    </w:rPr>
  </w:style>
  <w:style w:type="table" w:styleId="41">
    <w:name w:val="Table Grid"/>
    <w:basedOn w:val="4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42">
    <w:name w:val="段 Char"/>
    <w:link w:val="25"/>
    <w:uiPriority w:val="0"/>
    <w:rPr>
      <w:rFonts w:ascii="宋体"/>
      <w:sz w:val="21"/>
      <w:lang w:val="en-US" w:eastAsia="zh-CN" w:bidi="ar-SA"/>
    </w:rPr>
  </w:style>
  <w:style w:type="paragraph" w:customStyle="1" w:styleId="43">
    <w:name w:val="一级条标题"/>
    <w:next w:val="25"/>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4">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5"/>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25"/>
    <w:uiPriority w:val="0"/>
    <w:pPr>
      <w:numPr>
        <w:ilvl w:val="2"/>
      </w:numPr>
      <w:spacing w:before="50" w:after="50"/>
      <w:outlineLvl w:val="3"/>
    </w:pPr>
  </w:style>
  <w:style w:type="paragraph" w:customStyle="1" w:styleId="48">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5"/>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25"/>
    <w:uiPriority w:val="0"/>
    <w:pPr>
      <w:numPr>
        <w:ilvl w:val="3"/>
      </w:numPr>
      <w:outlineLvl w:val="4"/>
    </w:pPr>
  </w:style>
  <w:style w:type="paragraph" w:customStyle="1" w:styleId="53">
    <w:name w:val="示例"/>
    <w:next w:val="54"/>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25"/>
    <w:uiPriority w:val="0"/>
    <w:pPr>
      <w:numPr>
        <w:ilvl w:val="4"/>
      </w:numPr>
      <w:outlineLvl w:val="5"/>
    </w:pPr>
  </w:style>
  <w:style w:type="paragraph" w:customStyle="1" w:styleId="57">
    <w:name w:val="五级条标题"/>
    <w:basedOn w:val="56"/>
    <w:next w:val="25"/>
    <w:uiPriority w:val="0"/>
    <w:pPr>
      <w:numPr>
        <w:ilvl w:val="5"/>
      </w:numPr>
      <w:outlineLvl w:val="6"/>
    </w:pPr>
  </w:style>
  <w:style w:type="paragraph" w:customStyle="1" w:styleId="58">
    <w:name w:val="注："/>
    <w:next w:val="25"/>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0">
    <w:name w:val="字母编号列项（一级）"/>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uiPriority w:val="0"/>
    <w:pPr>
      <w:numPr>
        <w:ilvl w:val="2"/>
        <w:numId w:val="3"/>
      </w:numPr>
    </w:pPr>
    <w:rPr>
      <w:rFonts w:ascii="宋体"/>
      <w:szCs w:val="21"/>
    </w:rPr>
  </w:style>
  <w:style w:type="paragraph" w:customStyle="1" w:styleId="62">
    <w:name w:val="编号列项（三级）"/>
    <w:uiPriority w:val="0"/>
    <w:pPr>
      <w:numPr>
        <w:ilvl w:val="2"/>
        <w:numId w:val="5"/>
      </w:numPr>
    </w:pPr>
    <w:rPr>
      <w:rFonts w:ascii="宋体" w:hAnsi="Times New Roman" w:eastAsia="宋体" w:cs="Times New Roman"/>
      <w:sz w:val="21"/>
      <w:lang w:val="en-US" w:eastAsia="zh-CN" w:bidi="ar-SA"/>
    </w:rPr>
  </w:style>
  <w:style w:type="paragraph" w:customStyle="1" w:styleId="63">
    <w:name w:val="示例×："/>
    <w:basedOn w:val="46"/>
    <w:qFormat/>
    <w:uiPriority w:val="0"/>
    <w:pPr>
      <w:numPr>
        <w:numId w:val="8"/>
      </w:numPr>
      <w:spacing w:before="0" w:beforeLines="0" w:after="0" w:afterLines="0"/>
      <w:outlineLvl w:val="9"/>
    </w:pPr>
    <w:rPr>
      <w:rFonts w:ascii="宋体" w:eastAsia="宋体"/>
      <w:sz w:val="18"/>
      <w:szCs w:val="18"/>
    </w:rPr>
  </w:style>
  <w:style w:type="paragraph" w:customStyle="1" w:styleId="64">
    <w:name w:val="二级无"/>
    <w:basedOn w:val="47"/>
    <w:uiPriority w:val="0"/>
    <w:pPr>
      <w:spacing w:before="0" w:beforeLines="0" w:after="0" w:afterLines="0"/>
      <w:ind w:left="0"/>
    </w:pPr>
    <w:rPr>
      <w:rFonts w:ascii="宋体" w:eastAsia="宋体"/>
    </w:rPr>
  </w:style>
  <w:style w:type="paragraph" w:customStyle="1" w:styleId="65">
    <w:name w:val="注：（正文）"/>
    <w:basedOn w:val="58"/>
    <w:next w:val="25"/>
    <w:uiPriority w:val="0"/>
  </w:style>
  <w:style w:type="paragraph" w:customStyle="1" w:styleId="66">
    <w:name w:val="注×：（正文）"/>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uiPriority w:val="0"/>
    <w:pPr>
      <w:jc w:val="left"/>
    </w:pPr>
  </w:style>
  <w:style w:type="paragraph" w:customStyle="1" w:styleId="71">
    <w:name w:val="标准书眉一"/>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5"/>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5"/>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uiPriority w:val="0"/>
    <w:rPr>
      <w:rFonts w:ascii="黑体" w:eastAsia="黑体"/>
      <w:spacing w:val="85"/>
      <w:w w:val="100"/>
      <w:position w:val="3"/>
      <w:sz w:val="28"/>
      <w:szCs w:val="28"/>
    </w:rPr>
  </w:style>
  <w:style w:type="paragraph" w:customStyle="1" w:styleId="75">
    <w:name w:val="发布部门"/>
    <w:next w:val="25"/>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framePr/>
      <w:spacing w:before="370" w:line="400" w:lineRule="exact"/>
    </w:pPr>
    <w:rPr>
      <w:rFonts w:ascii="Times New Roman"/>
      <w:sz w:val="28"/>
      <w:szCs w:val="28"/>
    </w:rPr>
  </w:style>
  <w:style w:type="paragraph" w:customStyle="1" w:styleId="81">
    <w:name w:val="封面一致性程度标识"/>
    <w:basedOn w:val="80"/>
    <w:qFormat/>
    <w:uiPriority w:val="0"/>
    <w:pPr>
      <w:framePr/>
      <w:spacing w:before="440"/>
    </w:pPr>
    <w:rPr>
      <w:rFonts w:ascii="宋体" w:eastAsia="宋体"/>
    </w:rPr>
  </w:style>
  <w:style w:type="paragraph" w:customStyle="1" w:styleId="82">
    <w:name w:val="封面标准文稿类别"/>
    <w:basedOn w:val="81"/>
    <w:uiPriority w:val="0"/>
    <w:pPr>
      <w:framePr/>
      <w:spacing w:after="160" w:line="240" w:lineRule="auto"/>
    </w:pPr>
    <w:rPr>
      <w:sz w:val="24"/>
    </w:rPr>
  </w:style>
  <w:style w:type="paragraph" w:customStyle="1" w:styleId="83">
    <w:name w:val="封面标准文稿编辑信息"/>
    <w:basedOn w:val="82"/>
    <w:qFormat/>
    <w:uiPriority w:val="0"/>
    <w:pPr>
      <w:framePr/>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5"/>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5"/>
    <w:next w:val="25"/>
    <w:qFormat/>
    <w:uiPriority w:val="0"/>
    <w:pPr>
      <w:ind w:firstLine="0" w:firstLineChars="0"/>
      <w:jc w:val="center"/>
    </w:pPr>
    <w:rPr>
      <w:rFonts w:ascii="黑体" w:eastAsia="黑体"/>
    </w:rPr>
  </w:style>
  <w:style w:type="paragraph" w:customStyle="1" w:styleId="87">
    <w:name w:val="附录表标号"/>
    <w:basedOn w:val="1"/>
    <w:next w:val="25"/>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8">
    <w:name w:val="附录表标题"/>
    <w:basedOn w:val="1"/>
    <w:next w:val="25"/>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9">
    <w:name w:val="附录二级条标题"/>
    <w:basedOn w:val="1"/>
    <w:next w:val="25"/>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0">
    <w:name w:val="附录二级无"/>
    <w:basedOn w:val="89"/>
    <w:qFormat/>
    <w:uiPriority w:val="0"/>
    <w:pPr>
      <w:tabs>
        <w:tab w:val="clear" w:pos="360"/>
      </w:tabs>
      <w:spacing w:before="0" w:beforeLines="0" w:after="0" w:afterLines="0"/>
    </w:pPr>
    <w:rPr>
      <w:rFonts w:ascii="宋体" w:eastAsia="宋体"/>
      <w:szCs w:val="21"/>
    </w:rPr>
  </w:style>
  <w:style w:type="paragraph" w:customStyle="1" w:styleId="91">
    <w:name w:val="附录公式"/>
    <w:basedOn w:val="25"/>
    <w:next w:val="25"/>
    <w:link w:val="92"/>
    <w:qFormat/>
    <w:uiPriority w:val="0"/>
  </w:style>
  <w:style w:type="character" w:customStyle="1" w:styleId="92">
    <w:name w:val="附录公式 Char"/>
    <w:basedOn w:val="42"/>
    <w:link w:val="91"/>
    <w:qFormat/>
    <w:uiPriority w:val="0"/>
    <w:rPr>
      <w:rFonts w:ascii="宋体"/>
      <w:sz w:val="21"/>
      <w:lang w:val="en-US" w:eastAsia="zh-CN" w:bidi="ar-SA"/>
    </w:rPr>
  </w:style>
  <w:style w:type="paragraph" w:customStyle="1" w:styleId="93">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5"/>
    <w:qFormat/>
    <w:uiPriority w:val="0"/>
    <w:pPr>
      <w:numPr>
        <w:ilvl w:val="4"/>
      </w:numPr>
      <w:outlineLvl w:val="4"/>
    </w:pPr>
  </w:style>
  <w:style w:type="paragraph" w:customStyle="1" w:styleId="95">
    <w:name w:val="附录三级无"/>
    <w:basedOn w:val="94"/>
    <w:uiPriority w:val="0"/>
    <w:pPr>
      <w:tabs>
        <w:tab w:val="clear" w:pos="360"/>
      </w:tabs>
      <w:spacing w:before="0" w:beforeLines="0" w:after="0" w:afterLines="0"/>
    </w:pPr>
    <w:rPr>
      <w:rFonts w:ascii="宋体" w:eastAsia="宋体"/>
      <w:szCs w:val="21"/>
    </w:rPr>
  </w:style>
  <w:style w:type="paragraph" w:customStyle="1" w:styleId="96">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7">
    <w:name w:val="附录四级条标题"/>
    <w:basedOn w:val="94"/>
    <w:next w:val="25"/>
    <w:qFormat/>
    <w:uiPriority w:val="0"/>
    <w:pPr>
      <w:numPr>
        <w:ilvl w:val="5"/>
      </w:numPr>
      <w:outlineLvl w:val="5"/>
    </w:pPr>
  </w:style>
  <w:style w:type="paragraph" w:customStyle="1" w:styleId="98">
    <w:name w:val="附录四级无"/>
    <w:basedOn w:val="97"/>
    <w:uiPriority w:val="0"/>
    <w:pPr>
      <w:tabs>
        <w:tab w:val="clear" w:pos="360"/>
      </w:tabs>
      <w:spacing w:before="0" w:beforeLines="0" w:after="0" w:afterLines="0"/>
    </w:pPr>
    <w:rPr>
      <w:rFonts w:ascii="宋体" w:eastAsia="宋体"/>
      <w:szCs w:val="21"/>
    </w:rPr>
  </w:style>
  <w:style w:type="paragraph" w:customStyle="1" w:styleId="99">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0">
    <w:name w:val="附录图标题"/>
    <w:basedOn w:val="1"/>
    <w:next w:val="25"/>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1">
    <w:name w:val="附录五级条标题"/>
    <w:basedOn w:val="97"/>
    <w:next w:val="25"/>
    <w:uiPriority w:val="0"/>
    <w:pPr>
      <w:numPr>
        <w:ilvl w:val="6"/>
      </w:numPr>
      <w:outlineLvl w:val="6"/>
    </w:pPr>
  </w:style>
  <w:style w:type="paragraph" w:customStyle="1" w:styleId="102">
    <w:name w:val="附录五级无"/>
    <w:basedOn w:val="101"/>
    <w:qFormat/>
    <w:uiPriority w:val="0"/>
    <w:pPr>
      <w:tabs>
        <w:tab w:val="clear" w:pos="360"/>
      </w:tabs>
      <w:spacing w:before="0" w:beforeLines="0" w:after="0" w:afterLines="0"/>
    </w:pPr>
    <w:rPr>
      <w:rFonts w:ascii="宋体" w:eastAsia="宋体"/>
      <w:szCs w:val="21"/>
    </w:rPr>
  </w:style>
  <w:style w:type="paragraph" w:customStyle="1" w:styleId="103">
    <w:name w:val="附录章标题"/>
    <w:next w:val="25"/>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5"/>
    <w:qFormat/>
    <w:uiPriority w:val="0"/>
    <w:pPr>
      <w:numPr>
        <w:ilvl w:val="2"/>
      </w:numPr>
      <w:autoSpaceDN w:val="0"/>
      <w:spacing w:before="50" w:beforeLines="50" w:after="50" w:afterLines="50"/>
      <w:outlineLvl w:val="2"/>
    </w:pPr>
  </w:style>
  <w:style w:type="paragraph" w:customStyle="1" w:styleId="105">
    <w:name w:val="附录一级无"/>
    <w:basedOn w:val="104"/>
    <w:qFormat/>
    <w:uiPriority w:val="0"/>
    <w:pPr>
      <w:tabs>
        <w:tab w:val="clear" w:pos="360"/>
      </w:tabs>
      <w:spacing w:before="0" w:beforeLines="0" w:after="0" w:afterLines="0"/>
    </w:pPr>
    <w:rPr>
      <w:rFonts w:ascii="宋体" w:eastAsia="宋体"/>
      <w:szCs w:val="21"/>
    </w:rPr>
  </w:style>
  <w:style w:type="paragraph" w:customStyle="1" w:styleId="106">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7">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uiPriority w:val="0"/>
    <w:pPr>
      <w:framePr w:y="15310"/>
      <w:spacing w:line="0" w:lineRule="atLeast"/>
    </w:pPr>
    <w:rPr>
      <w:rFonts w:ascii="黑体" w:eastAsia="黑体"/>
      <w:b w:val="0"/>
    </w:rPr>
  </w:style>
  <w:style w:type="paragraph" w:customStyle="1" w:styleId="113">
    <w:name w:val="前言、引言标题"/>
    <w:next w:val="25"/>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0" w:beforeLines="0" w:after="0" w:afterLines="0"/>
    </w:pPr>
    <w:rPr>
      <w:rFonts w:ascii="宋体" w:eastAsia="宋体"/>
    </w:rPr>
  </w:style>
  <w:style w:type="paragraph" w:customStyle="1" w:styleId="115">
    <w:name w:val="实施日期"/>
    <w:basedOn w:val="76"/>
    <w:qFormat/>
    <w:uiPriority w:val="0"/>
    <w:pPr>
      <w:framePr w:vAnchor="page" w:hAnchor="text"/>
      <w:jc w:val="right"/>
    </w:pPr>
  </w:style>
  <w:style w:type="paragraph" w:customStyle="1" w:styleId="116">
    <w:name w:val="示例后文字"/>
    <w:basedOn w:val="25"/>
    <w:next w:val="25"/>
    <w:qFormat/>
    <w:uiPriority w:val="0"/>
    <w:pPr>
      <w:ind w:firstLine="360"/>
    </w:pPr>
    <w:rPr>
      <w:sz w:val="18"/>
    </w:rPr>
  </w:style>
  <w:style w:type="paragraph" w:customStyle="1" w:styleId="117">
    <w:name w:val="首示例"/>
    <w:next w:val="25"/>
    <w:link w:val="118"/>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8">
    <w:name w:val="首示例 Char"/>
    <w:link w:val="117"/>
    <w:qFormat/>
    <w:uiPriority w:val="0"/>
    <w:rPr>
      <w:rFonts w:ascii="宋体" w:hAnsi="宋体"/>
      <w:kern w:val="2"/>
      <w:sz w:val="18"/>
      <w:szCs w:val="18"/>
    </w:rPr>
  </w:style>
  <w:style w:type="paragraph" w:customStyle="1" w:styleId="119">
    <w:name w:val="四级无"/>
    <w:basedOn w:val="56"/>
    <w:qFormat/>
    <w:uiPriority w:val="0"/>
    <w:pPr>
      <w:spacing w:before="0" w:beforeLines="0" w:after="0" w:afterLines="0"/>
    </w:pPr>
    <w:rPr>
      <w:rFonts w:ascii="宋体" w:eastAsia="宋体"/>
    </w:rPr>
  </w:style>
  <w:style w:type="paragraph" w:customStyle="1" w:styleId="120">
    <w:name w:val="条文脚注"/>
    <w:basedOn w:val="26"/>
    <w:uiPriority w:val="0"/>
    <w:pPr>
      <w:numPr>
        <w:numId w:val="0"/>
      </w:numPr>
      <w:jc w:val="both"/>
    </w:pPr>
  </w:style>
  <w:style w:type="paragraph" w:customStyle="1" w:styleId="121">
    <w:name w:val="图标脚注说明"/>
    <w:basedOn w:val="25"/>
    <w:qFormat/>
    <w:uiPriority w:val="0"/>
    <w:pPr>
      <w:ind w:left="840" w:hanging="420" w:firstLineChars="0"/>
    </w:pPr>
    <w:rPr>
      <w:sz w:val="18"/>
      <w:szCs w:val="18"/>
    </w:rPr>
  </w:style>
  <w:style w:type="paragraph" w:customStyle="1" w:styleId="122">
    <w:name w:val="图表脚注说明"/>
    <w:basedOn w:val="1"/>
    <w:qFormat/>
    <w:uiPriority w:val="0"/>
    <w:pPr>
      <w:numPr>
        <w:ilvl w:val="0"/>
        <w:numId w:val="15"/>
      </w:numPr>
    </w:pPr>
    <w:rPr>
      <w:rFonts w:ascii="宋体"/>
      <w:sz w:val="18"/>
      <w:szCs w:val="18"/>
    </w:rPr>
  </w:style>
  <w:style w:type="paragraph" w:customStyle="1" w:styleId="123">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0" w:beforeLines="0" w:after="0" w:afterLines="0"/>
    </w:pPr>
    <w:rPr>
      <w:rFonts w:ascii="宋体" w:eastAsia="宋体"/>
    </w:rPr>
  </w:style>
  <w:style w:type="paragraph" w:customStyle="1" w:styleId="126">
    <w:name w:val="一级无"/>
    <w:basedOn w:val="43"/>
    <w:qFormat/>
    <w:uiPriority w:val="0"/>
    <w:pPr>
      <w:spacing w:before="0" w:beforeLines="0" w:after="0" w:afterLines="0"/>
    </w:pPr>
    <w:rPr>
      <w:rFonts w:ascii="宋体" w:eastAsia="宋体"/>
    </w:rPr>
  </w:style>
  <w:style w:type="paragraph" w:customStyle="1" w:styleId="127">
    <w:name w:val="正文表标题"/>
    <w:next w:val="25"/>
    <w:uiPriority w:val="0"/>
    <w:pPr>
      <w:numPr>
        <w:ilvl w:val="0"/>
        <w:numId w:val="16"/>
      </w:numPr>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正文公式编号制表符"/>
    <w:basedOn w:val="25"/>
    <w:next w:val="25"/>
    <w:qFormat/>
    <w:uiPriority w:val="0"/>
    <w:pPr>
      <w:ind w:firstLine="0" w:firstLineChars="0"/>
    </w:pPr>
  </w:style>
  <w:style w:type="paragraph" w:customStyle="1" w:styleId="129">
    <w:name w:val="正文图标题"/>
    <w:next w:val="25"/>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0">
    <w:name w:val="终结线"/>
    <w:basedOn w:val="1"/>
    <w:uiPriority w:val="0"/>
    <w:pPr>
      <w:framePr w:hSpace="181" w:vSpace="181" w:wrap="around" w:vAnchor="text" w:hAnchor="margin" w:xAlign="center" w:y="285"/>
    </w:pPr>
  </w:style>
  <w:style w:type="paragraph" w:customStyle="1" w:styleId="131">
    <w:name w:val="其他发布日期"/>
    <w:basedOn w:val="76"/>
    <w:qFormat/>
    <w:uiPriority w:val="0"/>
    <w:pPr>
      <w:framePr w:vAnchor="page" w:hAnchor="text" w:x="1419"/>
    </w:pPr>
  </w:style>
  <w:style w:type="paragraph" w:customStyle="1" w:styleId="132">
    <w:name w:val="其他实施日期"/>
    <w:basedOn w:val="115"/>
    <w:qFormat/>
    <w:uiPriority w:val="0"/>
    <w:pPr>
      <w:framePr/>
    </w:pPr>
  </w:style>
  <w:style w:type="paragraph" w:customStyle="1" w:styleId="133">
    <w:name w:val="封面标准名称2"/>
    <w:basedOn w:val="79"/>
    <w:uiPriority w:val="0"/>
    <w:pPr>
      <w:framePr w:y="4469"/>
      <w:spacing w:before="630" w:beforeLines="630"/>
    </w:pPr>
  </w:style>
  <w:style w:type="paragraph" w:customStyle="1" w:styleId="134">
    <w:name w:val="封面标准英文名称2"/>
    <w:basedOn w:val="80"/>
    <w:qFormat/>
    <w:uiPriority w:val="0"/>
    <w:pPr>
      <w:framePr w:y="4469"/>
    </w:pPr>
  </w:style>
  <w:style w:type="paragraph" w:customStyle="1" w:styleId="135">
    <w:name w:val="封面一致性程度标识2"/>
    <w:basedOn w:val="81"/>
    <w:qFormat/>
    <w:uiPriority w:val="0"/>
    <w:pPr>
      <w:framePr w:y="4469"/>
    </w:pPr>
  </w:style>
  <w:style w:type="paragraph" w:customStyle="1" w:styleId="136">
    <w:name w:val="封面标准文稿类别2"/>
    <w:basedOn w:val="82"/>
    <w:qFormat/>
    <w:uiPriority w:val="0"/>
    <w:pPr>
      <w:framePr w:y="4469"/>
    </w:pPr>
  </w:style>
  <w:style w:type="paragraph" w:customStyle="1" w:styleId="137">
    <w:name w:val="封面标准文稿编辑信息2"/>
    <w:basedOn w:val="83"/>
    <w:qFormat/>
    <w:uiPriority w:val="0"/>
    <w:pPr>
      <w:framePr w:y="4469"/>
    </w:pPr>
  </w:style>
  <w:style w:type="character" w:customStyle="1" w:styleId="138">
    <w:name w:val="正文文本 Char"/>
    <w:link w:val="10"/>
    <w:qFormat/>
    <w:uiPriority w:val="0"/>
    <w:rPr>
      <w:color w:val="000000"/>
      <w:kern w:val="2"/>
      <w:sz w:val="24"/>
    </w:rPr>
  </w:style>
  <w:style w:type="character" w:customStyle="1" w:styleId="139">
    <w:name w:val="日期 Char"/>
    <w:link w:val="16"/>
    <w:qFormat/>
    <w:uiPriority w:val="0"/>
    <w:rPr>
      <w:kern w:val="2"/>
      <w:sz w:val="21"/>
      <w:szCs w:val="24"/>
    </w:rPr>
  </w:style>
  <w:style w:type="character" w:customStyle="1" w:styleId="140">
    <w:name w:val="批注文字 Char"/>
    <w:link w:val="3"/>
    <w:uiPriority w:val="0"/>
    <w:rPr>
      <w:kern w:val="2"/>
      <w:sz w:val="21"/>
      <w:szCs w:val="24"/>
    </w:rPr>
  </w:style>
  <w:style w:type="character" w:customStyle="1" w:styleId="141">
    <w:name w:val="批注主题 Char"/>
    <w:link w:val="2"/>
    <w:uiPriority w:val="0"/>
    <w:rPr>
      <w:b/>
      <w:bCs/>
      <w:kern w:val="2"/>
      <w:sz w:val="21"/>
      <w:szCs w:val="24"/>
    </w:rPr>
  </w:style>
  <w:style w:type="character" w:customStyle="1" w:styleId="142">
    <w:name w:val="批注框文本 Char"/>
    <w:link w:val="18"/>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1185;&#30740;&#39033;&#30446;\&#20379;&#38144;&#24635;&#31038;-&#65288;2015&#65289;&#20892;&#36164;&#30005;&#21830;&#26631;&#20934;\&#20892;&#36164;&#36861;&#28335;&#30005;&#23376;&#26631;&#31614;&#65288;RFID&#65289;&#25216;&#26415;&#35268;&#33539;-1.0\&#12298;&#20892;&#36164;&#36861;&#28335;&#30005;&#23376;&#26631;&#31614;&#65288;RFID&#65289;&#25216;&#26415;&#35268;&#33539;&#12299;&#65288;&#24449;&#27714;&#24847;&#35265;&#31295;&#65289;-1.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738A1-A30E-482C-8314-D1BF32091B6B}">
  <ds:schemaRefs/>
</ds:datastoreItem>
</file>

<file path=docProps/app.xml><?xml version="1.0" encoding="utf-8"?>
<Properties xmlns="http://schemas.openxmlformats.org/officeDocument/2006/extended-properties" xmlns:vt="http://schemas.openxmlformats.org/officeDocument/2006/docPropsVTypes">
  <Template>《农资追溯电子标签（RFID）技术规范》（征求意见稿）-1.1.dot</Template>
  <Pages>8</Pages>
  <Words>522</Words>
  <Characters>2980</Characters>
  <Lines>24</Lines>
  <Paragraphs>6</Paragraphs>
  <ScaleCrop>false</ScaleCrop>
  <LinksUpToDate>false</LinksUpToDate>
  <CharactersWithSpaces>3496</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2017-07-07T01:34:00Z</dcterms:created>
  <dcterms:modified xsi:type="dcterms:W3CDTF">2017-10-19T07:33:37Z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